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308"/>
      </w:tblGrid>
      <w:tr w:rsidR="00F341B6" w:rsidRPr="004C1666" w14:paraId="689D8855" w14:textId="77777777" w:rsidTr="00FD6B4C">
        <w:trPr>
          <w:trHeight w:val="555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1210EEC" w14:textId="77777777" w:rsidR="00F341B6" w:rsidRPr="004C1666" w:rsidRDefault="00F341B6" w:rsidP="00FD6B4C">
            <w:pPr>
              <w:pStyle w:val="NoTitl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TITLE:</w:t>
            </w:r>
          </w:p>
        </w:tc>
        <w:tc>
          <w:tcPr>
            <w:tcW w:w="7308" w:type="dxa"/>
            <w:tcBorders>
              <w:top w:val="single" w:sz="4" w:space="0" w:color="auto"/>
              <w:bottom w:val="single" w:sz="4" w:space="0" w:color="auto"/>
            </w:tcBorders>
          </w:tcPr>
          <w:p w14:paraId="3C461B99" w14:textId="1A9F258F" w:rsidR="00F341B6" w:rsidRPr="004C1666" w:rsidRDefault="00B555C8" w:rsidP="00FD6B4C">
            <w:pPr>
              <w:pStyle w:val="Objectiv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Rejection of the Recognition and Implementation of Indigenous Rights Framework</w:t>
            </w:r>
            <w:r w:rsidR="00A1544B">
              <w:rPr>
                <w:rFonts w:ascii="Arial Narrow" w:hAnsi="Arial Narrow"/>
                <w:sz w:val="24"/>
                <w:szCs w:val="24"/>
              </w:rPr>
              <w:t xml:space="preserve"> and Associated Processes</w:t>
            </w:r>
          </w:p>
        </w:tc>
      </w:tr>
      <w:tr w:rsidR="00F341B6" w:rsidRPr="004C1666" w14:paraId="1DBEA5AB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7E841737" w14:textId="77777777" w:rsidR="00F341B6" w:rsidRPr="004C1666" w:rsidRDefault="00F341B6" w:rsidP="00FD6B4C">
            <w:pPr>
              <w:pStyle w:val="NoTitle"/>
              <w:spacing w:before="240" w:after="12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Subject: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2C7BA03A" w14:textId="36DE79A4" w:rsidR="00F341B6" w:rsidRPr="004C1666" w:rsidRDefault="00B555C8" w:rsidP="00FD6B4C">
            <w:pPr>
              <w:pStyle w:val="Achievement"/>
              <w:spacing w:before="240" w:after="120" w:line="240" w:lineRule="auto"/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Federal Legislation</w:t>
            </w:r>
          </w:p>
        </w:tc>
      </w:tr>
      <w:tr w:rsidR="00F341B6" w:rsidRPr="004C1666" w14:paraId="4399ABF5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35E6475F" w14:textId="77777777" w:rsidR="00F341B6" w:rsidRPr="004C1666" w:rsidRDefault="00F341B6" w:rsidP="00FD6B4C">
            <w:pPr>
              <w:pStyle w:val="NoTitl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Moved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5E4CCE78" w14:textId="0FA2479E" w:rsidR="00F341B6" w:rsidRPr="004C1666" w:rsidRDefault="00715594" w:rsidP="00FD6B4C">
            <w:pPr>
              <w:pStyle w:val="Objectiv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Chief R. Don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Maracle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Mohawks of the Bay of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Quinte</w:t>
            </w:r>
            <w:proofErr w:type="spellEnd"/>
            <w:r w:rsidR="00617CC7">
              <w:rPr>
                <w:rFonts w:ascii="Arial Narrow" w:hAnsi="Arial Narrow"/>
                <w:sz w:val="24"/>
                <w:szCs w:val="24"/>
              </w:rPr>
              <w:t>, ON</w:t>
            </w:r>
          </w:p>
        </w:tc>
      </w:tr>
      <w:tr w:rsidR="00F341B6" w:rsidRPr="004C1666" w14:paraId="4DAF7E30" w14:textId="77777777" w:rsidTr="00FD6B4C">
        <w:tc>
          <w:tcPr>
            <w:tcW w:w="2160" w:type="dxa"/>
            <w:tcBorders>
              <w:bottom w:val="single" w:sz="4" w:space="0" w:color="auto"/>
            </w:tcBorders>
          </w:tcPr>
          <w:p w14:paraId="7966B216" w14:textId="77777777" w:rsidR="00F341B6" w:rsidRPr="004C1666" w:rsidRDefault="00F341B6" w:rsidP="00FD6B4C">
            <w:pPr>
              <w:pStyle w:val="NoTitl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b/>
                <w:sz w:val="24"/>
                <w:szCs w:val="24"/>
              </w:rPr>
              <w:t>Seconded by:</w:t>
            </w:r>
          </w:p>
        </w:tc>
        <w:tc>
          <w:tcPr>
            <w:tcW w:w="7308" w:type="dxa"/>
            <w:tcBorders>
              <w:bottom w:val="single" w:sz="4" w:space="0" w:color="auto"/>
            </w:tcBorders>
          </w:tcPr>
          <w:p w14:paraId="73CAFF42" w14:textId="36D4E047" w:rsidR="00F341B6" w:rsidRPr="004C1666" w:rsidRDefault="00F341B6" w:rsidP="00FD6B4C">
            <w:pPr>
              <w:pStyle w:val="Objective"/>
              <w:spacing w:before="240" w:after="120" w:line="240" w:lineRule="auto"/>
              <w:rPr>
                <w:rFonts w:ascii="Arial Narrow" w:hAnsi="Arial Narrow"/>
                <w:sz w:val="24"/>
                <w:szCs w:val="24"/>
              </w:rPr>
            </w:pPr>
            <w:r w:rsidRPr="004C1666">
              <w:rPr>
                <w:rFonts w:ascii="Arial Narrow" w:hAnsi="Arial Narrow"/>
                <w:sz w:val="24"/>
                <w:szCs w:val="24"/>
              </w:rPr>
              <w:t>Chief</w:t>
            </w:r>
            <w:r w:rsidR="00715594">
              <w:rPr>
                <w:rFonts w:ascii="Arial Narrow" w:hAnsi="Arial Narrow"/>
                <w:sz w:val="24"/>
                <w:szCs w:val="24"/>
              </w:rPr>
              <w:t xml:space="preserve"> Denise Stonefish, Delaware First Nation, ON</w:t>
            </w:r>
            <w:bookmarkStart w:id="0" w:name="_GoBack"/>
            <w:bookmarkEnd w:id="0"/>
          </w:p>
        </w:tc>
      </w:tr>
    </w:tbl>
    <w:p w14:paraId="6088D0FA" w14:textId="77777777" w:rsidR="004077C7" w:rsidRDefault="004077C7" w:rsidP="00F470A8">
      <w:pPr>
        <w:pStyle w:val="NoSpacing"/>
        <w:rPr>
          <w:rFonts w:ascii="Arial Narrow" w:hAnsi="Arial Narrow"/>
          <w:sz w:val="24"/>
          <w:szCs w:val="24"/>
        </w:rPr>
      </w:pPr>
    </w:p>
    <w:p w14:paraId="7BC5E2FB" w14:textId="77777777" w:rsidR="00F341B6" w:rsidRPr="00F341B6" w:rsidRDefault="00F341B6" w:rsidP="00F341B6">
      <w:pPr>
        <w:pStyle w:val="NoSpacing"/>
        <w:rPr>
          <w:rFonts w:ascii="Arial Narrow" w:hAnsi="Arial Narrow"/>
          <w:b/>
          <w:sz w:val="24"/>
          <w:szCs w:val="24"/>
        </w:rPr>
      </w:pPr>
      <w:r w:rsidRPr="00F341B6">
        <w:rPr>
          <w:rFonts w:ascii="Arial Narrow" w:hAnsi="Arial Narrow"/>
          <w:b/>
          <w:sz w:val="24"/>
          <w:szCs w:val="24"/>
        </w:rPr>
        <w:t>WHEREAS:</w:t>
      </w:r>
    </w:p>
    <w:p w14:paraId="5F861300" w14:textId="77D85929" w:rsidR="00EC3D2C" w:rsidRDefault="00EC3D2C" w:rsidP="00395AE9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First Nations’ </w:t>
      </w:r>
      <w:r w:rsidR="00823877">
        <w:rPr>
          <w:rFonts w:ascii="Arial Narrow" w:hAnsi="Arial Narrow"/>
          <w:sz w:val="24"/>
          <w:szCs w:val="24"/>
        </w:rPr>
        <w:t>inherent right</w:t>
      </w:r>
      <w:r w:rsidR="00191873">
        <w:rPr>
          <w:rFonts w:ascii="Arial Narrow" w:hAnsi="Arial Narrow"/>
          <w:sz w:val="24"/>
          <w:szCs w:val="24"/>
        </w:rPr>
        <w:t xml:space="preserve"> to </w:t>
      </w:r>
      <w:r>
        <w:rPr>
          <w:rFonts w:ascii="Arial Narrow" w:hAnsi="Arial Narrow"/>
          <w:sz w:val="24"/>
          <w:szCs w:val="24"/>
        </w:rPr>
        <w:t>self-determination pre-exists contact with external government</w:t>
      </w:r>
      <w:r w:rsidR="00FF2124">
        <w:rPr>
          <w:rFonts w:ascii="Arial Narrow" w:hAnsi="Arial Narrow"/>
          <w:sz w:val="24"/>
          <w:szCs w:val="24"/>
        </w:rPr>
        <w:t>s and cannot be surrendered, extinguished, or modified</w:t>
      </w:r>
      <w:r>
        <w:rPr>
          <w:rFonts w:ascii="Arial Narrow" w:hAnsi="Arial Narrow"/>
          <w:sz w:val="24"/>
          <w:szCs w:val="24"/>
        </w:rPr>
        <w:t xml:space="preserve">. </w:t>
      </w:r>
      <w:r w:rsidR="00BF19B4">
        <w:rPr>
          <w:rFonts w:ascii="Arial Narrow" w:hAnsi="Arial Narrow"/>
          <w:sz w:val="24"/>
          <w:szCs w:val="24"/>
        </w:rPr>
        <w:t>It</w:t>
      </w:r>
      <w:r w:rsidR="00567DC8">
        <w:rPr>
          <w:rFonts w:ascii="Arial Narrow" w:hAnsi="Arial Narrow"/>
          <w:sz w:val="24"/>
          <w:szCs w:val="24"/>
        </w:rPr>
        <w:t xml:space="preserve"> is</w:t>
      </w:r>
      <w:r w:rsidR="00FF2124">
        <w:rPr>
          <w:rFonts w:ascii="Arial Narrow" w:hAnsi="Arial Narrow"/>
          <w:sz w:val="24"/>
          <w:szCs w:val="24"/>
        </w:rPr>
        <w:t xml:space="preserve"> affirmed in the </w:t>
      </w:r>
      <w:r w:rsidR="00DB25C1">
        <w:rPr>
          <w:rFonts w:ascii="Arial Narrow" w:hAnsi="Arial Narrow"/>
          <w:sz w:val="24"/>
          <w:szCs w:val="24"/>
        </w:rPr>
        <w:t>p</w:t>
      </w:r>
      <w:r w:rsidR="00FF2124">
        <w:rPr>
          <w:rFonts w:ascii="Arial Narrow" w:hAnsi="Arial Narrow"/>
          <w:sz w:val="24"/>
          <w:szCs w:val="24"/>
        </w:rPr>
        <w:t xml:space="preserve">reamble and </w:t>
      </w:r>
      <w:r w:rsidR="00DB25C1">
        <w:rPr>
          <w:rFonts w:ascii="Arial Narrow" w:hAnsi="Arial Narrow"/>
          <w:sz w:val="24"/>
          <w:szCs w:val="24"/>
        </w:rPr>
        <w:t>a</w:t>
      </w:r>
      <w:r w:rsidR="00FF2124">
        <w:rPr>
          <w:rFonts w:ascii="Arial Narrow" w:hAnsi="Arial Narrow"/>
          <w:sz w:val="24"/>
          <w:szCs w:val="24"/>
        </w:rPr>
        <w:t xml:space="preserve">rticles 3 and 4 of the United Nations Declaration on the Rights of Indigenous Peoples (UNDRIP) </w:t>
      </w:r>
      <w:r w:rsidR="00A92066">
        <w:rPr>
          <w:rFonts w:ascii="Arial Narrow" w:hAnsi="Arial Narrow"/>
          <w:sz w:val="24"/>
          <w:szCs w:val="24"/>
        </w:rPr>
        <w:t xml:space="preserve">and </w:t>
      </w:r>
      <w:r w:rsidR="00FF2124">
        <w:rPr>
          <w:rFonts w:ascii="Arial Narrow" w:hAnsi="Arial Narrow"/>
          <w:sz w:val="24"/>
          <w:szCs w:val="24"/>
        </w:rPr>
        <w:t xml:space="preserve">the UN Charter which clearly supports the right to self-determinations of peoples. This right to self-determination, along with the preemptory norms of non-discrimination and equality for all peoples, must be considered </w:t>
      </w:r>
      <w:r w:rsidR="00D717D5">
        <w:rPr>
          <w:rFonts w:ascii="Arial Narrow" w:hAnsi="Arial Narrow"/>
          <w:sz w:val="24"/>
          <w:szCs w:val="24"/>
        </w:rPr>
        <w:t xml:space="preserve">when interpreting international </w:t>
      </w:r>
      <w:r w:rsidR="00E0563E">
        <w:rPr>
          <w:rFonts w:ascii="Arial Narrow" w:hAnsi="Arial Narrow"/>
          <w:sz w:val="24"/>
          <w:szCs w:val="24"/>
        </w:rPr>
        <w:t>law</w:t>
      </w:r>
      <w:r w:rsidR="00FF2124">
        <w:rPr>
          <w:rFonts w:ascii="Arial Narrow" w:hAnsi="Arial Narrow"/>
          <w:sz w:val="24"/>
          <w:szCs w:val="24"/>
        </w:rPr>
        <w:t xml:space="preserve"> related to </w:t>
      </w:r>
      <w:r w:rsidR="00BC5169">
        <w:rPr>
          <w:rFonts w:ascii="Arial Narrow" w:hAnsi="Arial Narrow"/>
          <w:sz w:val="24"/>
          <w:szCs w:val="24"/>
        </w:rPr>
        <w:t xml:space="preserve">maintaining </w:t>
      </w:r>
      <w:r w:rsidR="00FF2124">
        <w:rPr>
          <w:rFonts w:ascii="Arial Narrow" w:hAnsi="Arial Narrow"/>
          <w:sz w:val="24"/>
          <w:szCs w:val="24"/>
        </w:rPr>
        <w:t>the territorial integrity of states</w:t>
      </w:r>
      <w:r w:rsidR="00D717D5">
        <w:rPr>
          <w:rFonts w:ascii="Arial Narrow" w:hAnsi="Arial Narrow"/>
          <w:sz w:val="24"/>
          <w:szCs w:val="24"/>
        </w:rPr>
        <w:t xml:space="preserve"> (e.g. </w:t>
      </w:r>
      <w:r w:rsidR="00FF2124">
        <w:rPr>
          <w:rFonts w:ascii="Arial Narrow" w:hAnsi="Arial Narrow"/>
          <w:sz w:val="24"/>
          <w:szCs w:val="24"/>
        </w:rPr>
        <w:t>article 46 of UNDRIP</w:t>
      </w:r>
      <w:r w:rsidR="00D717D5">
        <w:rPr>
          <w:rFonts w:ascii="Arial Narrow" w:hAnsi="Arial Narrow"/>
          <w:sz w:val="24"/>
          <w:szCs w:val="24"/>
        </w:rPr>
        <w:t>)</w:t>
      </w:r>
      <w:r w:rsidR="00FF2124">
        <w:rPr>
          <w:rFonts w:ascii="Arial Narrow" w:hAnsi="Arial Narrow"/>
          <w:sz w:val="24"/>
          <w:szCs w:val="24"/>
        </w:rPr>
        <w:t xml:space="preserve">. </w:t>
      </w:r>
    </w:p>
    <w:p w14:paraId="60AC8940" w14:textId="7982515D" w:rsidR="00F341B6" w:rsidRDefault="009C0461" w:rsidP="00395AE9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relationship between First Nations and Canada has been and must continue to be governed by international law. </w:t>
      </w:r>
    </w:p>
    <w:p w14:paraId="68B5EA3C" w14:textId="17784BD5" w:rsidR="00BF19B4" w:rsidRDefault="009C0461" w:rsidP="009C0461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Treaties concluded with European powers or their successors </w:t>
      </w:r>
      <w:r w:rsidR="00BC5169">
        <w:rPr>
          <w:rFonts w:ascii="Arial Narrow" w:hAnsi="Arial Narrow"/>
          <w:sz w:val="24"/>
          <w:szCs w:val="24"/>
        </w:rPr>
        <w:t>are</w:t>
      </w:r>
      <w:r w:rsidR="00CB2947">
        <w:rPr>
          <w:rFonts w:ascii="Arial Narrow" w:hAnsi="Arial Narrow"/>
          <w:sz w:val="24"/>
          <w:szCs w:val="24"/>
        </w:rPr>
        <w:t xml:space="preserve"> international</w:t>
      </w:r>
      <w:r>
        <w:rPr>
          <w:rFonts w:ascii="Arial Narrow" w:hAnsi="Arial Narrow"/>
          <w:sz w:val="24"/>
          <w:szCs w:val="24"/>
        </w:rPr>
        <w:t xml:space="preserve"> </w:t>
      </w:r>
      <w:r w:rsidR="00EA329F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reaties of peace and friendship, created </w:t>
      </w:r>
      <w:proofErr w:type="gramStart"/>
      <w:r>
        <w:rPr>
          <w:rFonts w:ascii="Arial Narrow" w:hAnsi="Arial Narrow"/>
          <w:sz w:val="24"/>
          <w:szCs w:val="24"/>
        </w:rPr>
        <w:t>for the purpose of</w:t>
      </w:r>
      <w:proofErr w:type="gramEnd"/>
      <w:r>
        <w:rPr>
          <w:rFonts w:ascii="Arial Narrow" w:hAnsi="Arial Narrow"/>
          <w:sz w:val="24"/>
          <w:szCs w:val="24"/>
        </w:rPr>
        <w:t xml:space="preserve"> coexistence rather than submission to the overall jurisdiction of colonial governments. </w:t>
      </w:r>
    </w:p>
    <w:p w14:paraId="4B80C948" w14:textId="01435D07" w:rsidR="00BF19B4" w:rsidRDefault="00CB2947" w:rsidP="009C0461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bookmarkStart w:id="1" w:name="_Hlk518633765"/>
      <w:r>
        <w:rPr>
          <w:rFonts w:ascii="Arial Narrow" w:hAnsi="Arial Narrow"/>
          <w:sz w:val="24"/>
          <w:szCs w:val="24"/>
        </w:rPr>
        <w:t>The Canadian government has at no point been able to provide proof</w:t>
      </w:r>
      <w:r w:rsidR="003815EB">
        <w:rPr>
          <w:rFonts w:ascii="Arial Narrow" w:hAnsi="Arial Narrow"/>
          <w:sz w:val="24"/>
          <w:szCs w:val="24"/>
        </w:rPr>
        <w:t xml:space="preserve"> that First Nations</w:t>
      </w:r>
      <w:r w:rsidR="003815EB" w:rsidRPr="00A50EBD">
        <w:rPr>
          <w:rFonts w:ascii="Arial Narrow" w:hAnsi="Arial Narrow"/>
          <w:sz w:val="24"/>
          <w:szCs w:val="24"/>
        </w:rPr>
        <w:t xml:space="preserve"> have expressly and of their own free will renounced their sovereign attributes</w:t>
      </w:r>
      <w:r w:rsidR="003815EB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3815EB">
        <w:rPr>
          <w:rFonts w:ascii="Arial Narrow" w:hAnsi="Arial Narrow"/>
          <w:sz w:val="24"/>
          <w:szCs w:val="24"/>
        </w:rPr>
        <w:t xml:space="preserve">Our position is that </w:t>
      </w:r>
      <w:r w:rsidR="00191873">
        <w:rPr>
          <w:rFonts w:ascii="Arial Narrow" w:hAnsi="Arial Narrow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ndigenous </w:t>
      </w:r>
      <w:r w:rsidR="003815EB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eoples have</w:t>
      </w:r>
      <w:r w:rsidR="003815EB">
        <w:rPr>
          <w:rFonts w:ascii="Arial Narrow" w:hAnsi="Arial Narrow"/>
          <w:sz w:val="24"/>
          <w:szCs w:val="24"/>
        </w:rPr>
        <w:t xml:space="preserve"> never</w:t>
      </w:r>
      <w:r>
        <w:rPr>
          <w:rFonts w:ascii="Arial Narrow" w:hAnsi="Arial Narrow"/>
          <w:sz w:val="24"/>
          <w:szCs w:val="24"/>
        </w:rPr>
        <w:t xml:space="preserve"> </w:t>
      </w:r>
      <w:r w:rsidR="003815EB">
        <w:rPr>
          <w:rFonts w:ascii="Arial Narrow" w:hAnsi="Arial Narrow"/>
          <w:sz w:val="24"/>
          <w:szCs w:val="24"/>
        </w:rPr>
        <w:t xml:space="preserve">renounced </w:t>
      </w:r>
      <w:r>
        <w:rPr>
          <w:rFonts w:ascii="Arial Narrow" w:hAnsi="Arial Narrow"/>
          <w:sz w:val="24"/>
          <w:szCs w:val="24"/>
        </w:rPr>
        <w:t xml:space="preserve">their international juridical status as </w:t>
      </w:r>
      <w:r w:rsidR="003815EB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ations or </w:t>
      </w:r>
      <w:r w:rsidR="003815EB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 xml:space="preserve">eoples. </w:t>
      </w:r>
    </w:p>
    <w:bookmarkEnd w:id="1"/>
    <w:p w14:paraId="4B4D8F2B" w14:textId="6D6DA49B" w:rsidR="009C0461" w:rsidRDefault="00EA329F" w:rsidP="009C0461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cornerstone of the </w:t>
      </w:r>
      <w:r w:rsidR="00CB2947">
        <w:rPr>
          <w:rFonts w:ascii="Arial Narrow" w:hAnsi="Arial Narrow"/>
          <w:sz w:val="24"/>
          <w:szCs w:val="24"/>
        </w:rPr>
        <w:t>Vienna Convention on the Law of Treatie</w:t>
      </w:r>
      <w:r>
        <w:rPr>
          <w:rFonts w:ascii="Arial Narrow" w:hAnsi="Arial Narrow"/>
          <w:sz w:val="24"/>
          <w:szCs w:val="24"/>
        </w:rPr>
        <w:t xml:space="preserve">s is the </w:t>
      </w:r>
      <w:r w:rsidR="00CB2947">
        <w:rPr>
          <w:rFonts w:ascii="Arial Narrow" w:hAnsi="Arial Narrow"/>
          <w:sz w:val="24"/>
          <w:szCs w:val="24"/>
        </w:rPr>
        <w:t xml:space="preserve">principle of </w:t>
      </w:r>
      <w:r w:rsidR="00CB2947" w:rsidRPr="004205FA">
        <w:rPr>
          <w:rFonts w:ascii="Arial Narrow" w:hAnsi="Arial Narrow"/>
          <w:i/>
          <w:sz w:val="24"/>
          <w:szCs w:val="24"/>
        </w:rPr>
        <w:t xml:space="preserve">pacta sunt </w:t>
      </w:r>
      <w:proofErr w:type="spellStart"/>
      <w:r w:rsidR="00CB2947" w:rsidRPr="004205FA">
        <w:rPr>
          <w:rFonts w:ascii="Arial Narrow" w:hAnsi="Arial Narrow"/>
          <w:i/>
          <w:sz w:val="24"/>
          <w:szCs w:val="24"/>
        </w:rPr>
        <w:t>servanda</w:t>
      </w:r>
      <w:proofErr w:type="spellEnd"/>
      <w:r w:rsidR="00CB2947">
        <w:rPr>
          <w:rFonts w:ascii="Arial Narrow" w:hAnsi="Arial Narrow"/>
          <w:sz w:val="24"/>
          <w:szCs w:val="24"/>
        </w:rPr>
        <w:t xml:space="preserve"> (agreements must be kept)</w:t>
      </w:r>
      <w:r>
        <w:rPr>
          <w:rFonts w:ascii="Arial Narrow" w:hAnsi="Arial Narrow"/>
          <w:sz w:val="24"/>
          <w:szCs w:val="24"/>
        </w:rPr>
        <w:t>, meaning that Canada cannot unilaterally nullify Treaty arrangements.</w:t>
      </w:r>
      <w:r w:rsidR="00CB2947">
        <w:rPr>
          <w:rFonts w:ascii="Arial Narrow" w:hAnsi="Arial Narrow"/>
          <w:sz w:val="24"/>
          <w:szCs w:val="24"/>
        </w:rPr>
        <w:t xml:space="preserve"> </w:t>
      </w:r>
    </w:p>
    <w:p w14:paraId="518FAA53" w14:textId="13B99C27" w:rsidR="00BF19B4" w:rsidRDefault="00191873" w:rsidP="009C0461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013AB9">
        <w:rPr>
          <w:rFonts w:ascii="Arial Narrow" w:hAnsi="Arial Narrow"/>
          <w:sz w:val="24"/>
          <w:szCs w:val="24"/>
        </w:rPr>
        <w:t>Non-treaty First Nations</w:t>
      </w:r>
      <w:r>
        <w:rPr>
          <w:rFonts w:ascii="Arial Narrow" w:hAnsi="Arial Narrow"/>
          <w:sz w:val="24"/>
          <w:szCs w:val="24"/>
        </w:rPr>
        <w:t xml:space="preserve"> </w:t>
      </w:r>
      <w:r w:rsidR="00013AB9">
        <w:rPr>
          <w:rFonts w:ascii="Arial Narrow" w:hAnsi="Arial Narrow"/>
          <w:sz w:val="24"/>
          <w:szCs w:val="24"/>
        </w:rPr>
        <w:t>maintain</w:t>
      </w:r>
      <w:r w:rsidR="00CB2947">
        <w:rPr>
          <w:rFonts w:ascii="Arial Narrow" w:hAnsi="Arial Narrow"/>
          <w:sz w:val="24"/>
          <w:szCs w:val="24"/>
        </w:rPr>
        <w:t xml:space="preserve"> their status as </w:t>
      </w:r>
      <w:r w:rsidR="00013AB9">
        <w:rPr>
          <w:rFonts w:ascii="Arial Narrow" w:hAnsi="Arial Narrow"/>
          <w:sz w:val="24"/>
          <w:szCs w:val="24"/>
        </w:rPr>
        <w:t>N</w:t>
      </w:r>
      <w:r w:rsidR="00CB2947">
        <w:rPr>
          <w:rFonts w:ascii="Arial Narrow" w:hAnsi="Arial Narrow"/>
          <w:sz w:val="24"/>
          <w:szCs w:val="24"/>
        </w:rPr>
        <w:t>ations</w:t>
      </w:r>
      <w:r w:rsidR="002001F4">
        <w:rPr>
          <w:rFonts w:ascii="Arial Narrow" w:hAnsi="Arial Narrow"/>
          <w:sz w:val="24"/>
          <w:szCs w:val="24"/>
        </w:rPr>
        <w:t xml:space="preserve"> and at </w:t>
      </w:r>
      <w:r w:rsidR="00CB2947">
        <w:rPr>
          <w:rFonts w:ascii="Arial Narrow" w:hAnsi="Arial Narrow"/>
          <w:sz w:val="24"/>
          <w:szCs w:val="24"/>
        </w:rPr>
        <w:t xml:space="preserve">no point has </w:t>
      </w:r>
      <w:r w:rsidR="00013AB9">
        <w:rPr>
          <w:rFonts w:ascii="Arial Narrow" w:hAnsi="Arial Narrow"/>
          <w:sz w:val="24"/>
          <w:szCs w:val="24"/>
        </w:rPr>
        <w:t xml:space="preserve">this status </w:t>
      </w:r>
      <w:r w:rsidR="00CB2947">
        <w:rPr>
          <w:rFonts w:ascii="Arial Narrow" w:hAnsi="Arial Narrow"/>
          <w:sz w:val="24"/>
          <w:szCs w:val="24"/>
        </w:rPr>
        <w:t xml:space="preserve">been voluntarily relinquished. </w:t>
      </w:r>
    </w:p>
    <w:p w14:paraId="0190143F" w14:textId="1C146A0E" w:rsidR="00CB2947" w:rsidRDefault="00BF19B4" w:rsidP="009C0461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9B29AA">
        <w:rPr>
          <w:rFonts w:ascii="Arial Narrow" w:hAnsi="Arial Narrow"/>
          <w:sz w:val="24"/>
          <w:szCs w:val="24"/>
        </w:rPr>
        <w:t xml:space="preserve">erra nullius, conquest, and armed force </w:t>
      </w:r>
      <w:r w:rsidR="00191873">
        <w:rPr>
          <w:rFonts w:ascii="Arial Narrow" w:hAnsi="Arial Narrow"/>
          <w:sz w:val="24"/>
          <w:szCs w:val="24"/>
        </w:rPr>
        <w:t xml:space="preserve">have been determined to be </w:t>
      </w:r>
      <w:r w:rsidR="009B29AA">
        <w:rPr>
          <w:rFonts w:ascii="Arial Narrow" w:hAnsi="Arial Narrow"/>
          <w:sz w:val="24"/>
          <w:szCs w:val="24"/>
        </w:rPr>
        <w:t xml:space="preserve">illegitimate methods of depriving a </w:t>
      </w:r>
      <w:r w:rsidR="00013AB9">
        <w:rPr>
          <w:rFonts w:ascii="Arial Narrow" w:hAnsi="Arial Narrow"/>
          <w:sz w:val="24"/>
          <w:szCs w:val="24"/>
        </w:rPr>
        <w:t>P</w:t>
      </w:r>
      <w:r w:rsidR="009B29AA">
        <w:rPr>
          <w:rFonts w:ascii="Arial Narrow" w:hAnsi="Arial Narrow"/>
          <w:sz w:val="24"/>
          <w:szCs w:val="24"/>
        </w:rPr>
        <w:t xml:space="preserve">eople or </w:t>
      </w:r>
      <w:r w:rsidR="00013AB9">
        <w:rPr>
          <w:rFonts w:ascii="Arial Narrow" w:hAnsi="Arial Narrow"/>
          <w:sz w:val="24"/>
          <w:szCs w:val="24"/>
        </w:rPr>
        <w:t>N</w:t>
      </w:r>
      <w:r w:rsidR="009B29AA">
        <w:rPr>
          <w:rFonts w:ascii="Arial Narrow" w:hAnsi="Arial Narrow"/>
          <w:sz w:val="24"/>
          <w:szCs w:val="24"/>
        </w:rPr>
        <w:t>ation of their</w:t>
      </w:r>
      <w:r w:rsidR="00F808C2">
        <w:rPr>
          <w:rFonts w:ascii="Arial Narrow" w:hAnsi="Arial Narrow"/>
          <w:sz w:val="24"/>
          <w:szCs w:val="24"/>
        </w:rPr>
        <w:t xml:space="preserve"> nationhood or</w:t>
      </w:r>
      <w:r w:rsidR="009B29AA">
        <w:rPr>
          <w:rFonts w:ascii="Arial Narrow" w:hAnsi="Arial Narrow"/>
          <w:sz w:val="24"/>
          <w:szCs w:val="24"/>
        </w:rPr>
        <w:t xml:space="preserve"> international status. </w:t>
      </w:r>
    </w:p>
    <w:p w14:paraId="027F029D" w14:textId="5D940452" w:rsidR="000D78C1" w:rsidRDefault="000D78C1" w:rsidP="000D78C1">
      <w:pPr>
        <w:spacing w:before="120"/>
        <w:jc w:val="left"/>
        <w:rPr>
          <w:rFonts w:ascii="Arial Narrow" w:hAnsi="Arial Narrow"/>
          <w:sz w:val="24"/>
          <w:szCs w:val="24"/>
        </w:rPr>
      </w:pPr>
    </w:p>
    <w:p w14:paraId="12769BFB" w14:textId="77777777" w:rsidR="000D78C1" w:rsidRDefault="000D78C1" w:rsidP="002001F4">
      <w:pPr>
        <w:spacing w:before="120"/>
        <w:jc w:val="left"/>
        <w:rPr>
          <w:rFonts w:ascii="Arial Narrow" w:hAnsi="Arial Narrow"/>
          <w:sz w:val="24"/>
          <w:szCs w:val="24"/>
        </w:rPr>
      </w:pPr>
    </w:p>
    <w:p w14:paraId="561A3D22" w14:textId="624377AF" w:rsidR="00F341B6" w:rsidRDefault="009B29AA" w:rsidP="00F341B6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The</w:t>
      </w:r>
      <w:r w:rsidR="004D3676">
        <w:rPr>
          <w:rFonts w:ascii="Arial Narrow" w:hAnsi="Arial Narrow"/>
          <w:sz w:val="24"/>
          <w:szCs w:val="24"/>
        </w:rPr>
        <w:t xml:space="preserve"> Recognition and Implementation of Rights</w:t>
      </w:r>
      <w:r>
        <w:rPr>
          <w:rFonts w:ascii="Arial Narrow" w:hAnsi="Arial Narrow"/>
          <w:sz w:val="24"/>
          <w:szCs w:val="24"/>
        </w:rPr>
        <w:t xml:space="preserve"> Framework </w:t>
      </w:r>
      <w:r w:rsidR="004D3676">
        <w:rPr>
          <w:rFonts w:ascii="Arial Narrow" w:hAnsi="Arial Narrow"/>
          <w:sz w:val="24"/>
          <w:szCs w:val="24"/>
        </w:rPr>
        <w:t xml:space="preserve">(the Framework) </w:t>
      </w:r>
      <w:r>
        <w:rPr>
          <w:rFonts w:ascii="Arial Narrow" w:hAnsi="Arial Narrow"/>
          <w:sz w:val="24"/>
          <w:szCs w:val="24"/>
        </w:rPr>
        <w:t xml:space="preserve">and associated processes </w:t>
      </w:r>
      <w:r w:rsidR="00966CB9">
        <w:rPr>
          <w:rFonts w:ascii="Arial Narrow" w:hAnsi="Arial Narrow"/>
          <w:sz w:val="24"/>
          <w:szCs w:val="24"/>
        </w:rPr>
        <w:t xml:space="preserve">undermine the </w:t>
      </w:r>
      <w:r>
        <w:rPr>
          <w:rFonts w:ascii="Arial Narrow" w:hAnsi="Arial Narrow"/>
          <w:sz w:val="24"/>
          <w:szCs w:val="24"/>
        </w:rPr>
        <w:t xml:space="preserve">true </w:t>
      </w:r>
      <w:r w:rsidR="000D78C1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ation-to-</w:t>
      </w:r>
      <w:r w:rsidR="000D78C1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ation relationship between First Nation</w:t>
      </w:r>
      <w:r w:rsidR="00792745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and Canada as they:</w:t>
      </w:r>
    </w:p>
    <w:p w14:paraId="1E991153" w14:textId="6A3A4300" w:rsidR="009B29AA" w:rsidRDefault="009B29AA" w:rsidP="009B29AA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Openly reject Free, Prior, and Informed Consent (FPIC) as a guiding principle of the relationship between Canada and First Nations. This is made evident by </w:t>
      </w:r>
      <w:r w:rsidRPr="009B29AA">
        <w:rPr>
          <w:rFonts w:ascii="Arial Narrow" w:hAnsi="Arial Narrow"/>
          <w:i/>
          <w:sz w:val="24"/>
          <w:szCs w:val="24"/>
        </w:rPr>
        <w:t>Principles Respecting the Government of Canada’s Relationship with Indigenous Peoples</w:t>
      </w:r>
      <w:r>
        <w:rPr>
          <w:rFonts w:ascii="Arial Narrow" w:hAnsi="Arial Narrow"/>
          <w:sz w:val="24"/>
          <w:szCs w:val="24"/>
        </w:rPr>
        <w:t xml:space="preserve"> </w:t>
      </w:r>
      <w:r w:rsidR="002E16BF">
        <w:rPr>
          <w:rFonts w:ascii="Arial Narrow" w:hAnsi="Arial Narrow"/>
          <w:sz w:val="24"/>
          <w:szCs w:val="24"/>
        </w:rPr>
        <w:t xml:space="preserve">(Ten Principles) </w:t>
      </w:r>
      <w:r>
        <w:rPr>
          <w:rFonts w:ascii="Arial Narrow" w:hAnsi="Arial Narrow"/>
          <w:sz w:val="24"/>
          <w:szCs w:val="24"/>
        </w:rPr>
        <w:t xml:space="preserve">document which </w:t>
      </w:r>
      <w:r w:rsidR="002E16BF">
        <w:rPr>
          <w:rFonts w:ascii="Arial Narrow" w:hAnsi="Arial Narrow"/>
          <w:sz w:val="24"/>
          <w:szCs w:val="24"/>
        </w:rPr>
        <w:t xml:space="preserve">states that Canada will only </w:t>
      </w:r>
      <w:r w:rsidR="002E16BF" w:rsidRPr="009159D7">
        <w:rPr>
          <w:rFonts w:ascii="Arial Narrow" w:hAnsi="Arial Narrow"/>
          <w:i/>
          <w:sz w:val="24"/>
          <w:szCs w:val="24"/>
        </w:rPr>
        <w:t>attempt</w:t>
      </w:r>
      <w:r w:rsidR="002E16BF">
        <w:rPr>
          <w:rFonts w:ascii="Arial Narrow" w:hAnsi="Arial Narrow"/>
          <w:sz w:val="24"/>
          <w:szCs w:val="24"/>
        </w:rPr>
        <w:t xml:space="preserve"> to honour FPIC</w:t>
      </w:r>
      <w:r>
        <w:rPr>
          <w:rFonts w:ascii="Arial Narrow" w:hAnsi="Arial Narrow"/>
          <w:sz w:val="24"/>
          <w:szCs w:val="24"/>
        </w:rPr>
        <w:t>.</w:t>
      </w:r>
      <w:r w:rsidR="002E16BF">
        <w:rPr>
          <w:rFonts w:ascii="Arial Narrow" w:hAnsi="Arial Narrow"/>
          <w:sz w:val="24"/>
          <w:szCs w:val="24"/>
        </w:rPr>
        <w:t xml:space="preserve"> This amounts to little more than consultation.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4BD67D7" w14:textId="351C1D44" w:rsidR="002E16BF" w:rsidRPr="002E16BF" w:rsidRDefault="002E16BF" w:rsidP="002E16BF">
      <w:pPr>
        <w:numPr>
          <w:ilvl w:val="1"/>
          <w:numId w:val="2"/>
        </w:numPr>
        <w:spacing w:before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Call for the </w:t>
      </w:r>
      <w:bookmarkStart w:id="2" w:name="_Hlk518633903"/>
      <w:r>
        <w:rPr>
          <w:rFonts w:ascii="Arial Narrow" w:hAnsi="Arial Narrow"/>
          <w:sz w:val="24"/>
          <w:szCs w:val="24"/>
        </w:rPr>
        <w:t>infringement of inherent and unextinguished rights and jurisdiction</w:t>
      </w:r>
      <w:r w:rsidR="00567DC8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of First Nations</w:t>
      </w:r>
      <w:r w:rsidR="009159D7">
        <w:rPr>
          <w:rFonts w:ascii="Arial Narrow" w:hAnsi="Arial Narrow"/>
          <w:sz w:val="24"/>
          <w:szCs w:val="24"/>
        </w:rPr>
        <w:t>. The Ten</w:t>
      </w:r>
      <w:r>
        <w:rPr>
          <w:rFonts w:ascii="Arial Narrow" w:hAnsi="Arial Narrow"/>
          <w:sz w:val="24"/>
          <w:szCs w:val="24"/>
        </w:rPr>
        <w:t xml:space="preserve"> Principles document</w:t>
      </w:r>
      <w:r w:rsidR="009159D7">
        <w:rPr>
          <w:rFonts w:ascii="Arial Narrow" w:hAnsi="Arial Narrow"/>
          <w:sz w:val="24"/>
          <w:szCs w:val="24"/>
        </w:rPr>
        <w:t xml:space="preserve"> </w:t>
      </w:r>
      <w:r w:rsidRPr="002E16BF">
        <w:rPr>
          <w:rFonts w:ascii="Arial Narrow" w:hAnsi="Arial Narrow"/>
          <w:sz w:val="24"/>
          <w:szCs w:val="24"/>
        </w:rPr>
        <w:t>clearly state</w:t>
      </w:r>
      <w:r w:rsidR="00191873">
        <w:rPr>
          <w:rFonts w:ascii="Arial Narrow" w:hAnsi="Arial Narrow"/>
          <w:sz w:val="24"/>
          <w:szCs w:val="24"/>
        </w:rPr>
        <w:t>s</w:t>
      </w:r>
      <w:r w:rsidRPr="002E16BF">
        <w:rPr>
          <w:rFonts w:ascii="Arial Narrow" w:hAnsi="Arial Narrow"/>
          <w:sz w:val="24"/>
          <w:szCs w:val="24"/>
        </w:rPr>
        <w:t xml:space="preserve"> that infringement of </w:t>
      </w:r>
      <w:r w:rsidR="00567DC8">
        <w:rPr>
          <w:rFonts w:ascii="Arial Narrow" w:hAnsi="Arial Narrow"/>
          <w:sz w:val="24"/>
          <w:szCs w:val="24"/>
        </w:rPr>
        <w:t>Aboriginal rights</w:t>
      </w:r>
      <w:r w:rsidRPr="002E16BF">
        <w:rPr>
          <w:rFonts w:ascii="Arial Narrow" w:hAnsi="Arial Narrow"/>
          <w:sz w:val="24"/>
          <w:szCs w:val="24"/>
        </w:rPr>
        <w:t xml:space="preserve"> will continue unabated in situations where Canadian courts find it “justified”</w:t>
      </w:r>
      <w:r w:rsidR="009159D7">
        <w:rPr>
          <w:rFonts w:ascii="Arial Narrow" w:hAnsi="Arial Narrow"/>
          <w:sz w:val="24"/>
          <w:szCs w:val="24"/>
        </w:rPr>
        <w:t xml:space="preserve"> or where it is found to be in the best interest of the nation</w:t>
      </w:r>
      <w:r w:rsidRPr="002E16BF">
        <w:rPr>
          <w:rFonts w:ascii="Arial Narrow" w:hAnsi="Arial Narrow"/>
          <w:sz w:val="24"/>
          <w:szCs w:val="24"/>
        </w:rPr>
        <w:t>.</w:t>
      </w:r>
    </w:p>
    <w:bookmarkEnd w:id="2"/>
    <w:p w14:paraId="71C38A3E" w14:textId="3EF351C3" w:rsidR="00966CB9" w:rsidRDefault="002001F4" w:rsidP="009B29AA">
      <w:pPr>
        <w:numPr>
          <w:ilvl w:val="1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Assert</w:t>
      </w:r>
      <w:r w:rsidR="00966CB9">
        <w:rPr>
          <w:rFonts w:ascii="Arial Narrow" w:hAnsi="Arial Narrow"/>
          <w:sz w:val="24"/>
          <w:szCs w:val="24"/>
        </w:rPr>
        <w:t xml:space="preserve"> that </w:t>
      </w:r>
      <w:r w:rsidR="002E16BF">
        <w:rPr>
          <w:rFonts w:ascii="Arial Narrow" w:hAnsi="Arial Narrow"/>
          <w:sz w:val="24"/>
          <w:szCs w:val="24"/>
        </w:rPr>
        <w:t>the Canadian constitutional framework</w:t>
      </w:r>
      <w:r w:rsidR="00966CB9">
        <w:rPr>
          <w:rFonts w:ascii="Arial Narrow" w:hAnsi="Arial Narrow"/>
          <w:sz w:val="24"/>
          <w:szCs w:val="24"/>
        </w:rPr>
        <w:t xml:space="preserve"> is the only vehicle for t</w:t>
      </w:r>
      <w:r w:rsidR="002E16BF">
        <w:rPr>
          <w:rFonts w:ascii="Arial Narrow" w:hAnsi="Arial Narrow"/>
          <w:sz w:val="24"/>
          <w:szCs w:val="24"/>
        </w:rPr>
        <w:t xml:space="preserve">he exercise of inherent rights by First Nations. </w:t>
      </w:r>
      <w:bookmarkStart w:id="3" w:name="_Hlk518633998"/>
    </w:p>
    <w:p w14:paraId="2CA87EB5" w14:textId="2C94BDDD" w:rsidR="002E16BF" w:rsidRPr="00966CB9" w:rsidRDefault="00792745" w:rsidP="002001F4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 w:rsidRPr="00966CB9">
        <w:rPr>
          <w:rFonts w:ascii="Arial Narrow" w:hAnsi="Arial Narrow"/>
          <w:sz w:val="24"/>
          <w:szCs w:val="24"/>
        </w:rPr>
        <w:t>The inherent rights and jurisdictions of First Nations cannot be derived from the constitution of a foreign government.</w:t>
      </w:r>
      <w:r w:rsidR="002E16BF" w:rsidRPr="00966CB9">
        <w:rPr>
          <w:rFonts w:ascii="Arial Narrow" w:hAnsi="Arial Narrow"/>
          <w:sz w:val="24"/>
          <w:szCs w:val="24"/>
        </w:rPr>
        <w:t xml:space="preserve"> </w:t>
      </w:r>
    </w:p>
    <w:bookmarkEnd w:id="3"/>
    <w:p w14:paraId="1D24B656" w14:textId="688A0D6A" w:rsidR="00DD7200" w:rsidRDefault="004D3676" w:rsidP="00395AE9">
      <w:pPr>
        <w:numPr>
          <w:ilvl w:val="0"/>
          <w:numId w:val="2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Framework sidelines important questions of Aboriginal title, treaty obligations, land rights, and access to natural resources</w:t>
      </w:r>
      <w:r w:rsidR="00567DC8">
        <w:rPr>
          <w:rFonts w:ascii="Arial Narrow" w:hAnsi="Arial Narrow"/>
          <w:sz w:val="24"/>
          <w:szCs w:val="24"/>
        </w:rPr>
        <w:t xml:space="preserve"> to</w:t>
      </w:r>
      <w:r>
        <w:rPr>
          <w:rFonts w:ascii="Arial Narrow" w:hAnsi="Arial Narrow"/>
          <w:sz w:val="24"/>
          <w:szCs w:val="24"/>
        </w:rPr>
        <w:t xml:space="preserve"> avoid recognizing substantive forms of First Nation</w:t>
      </w:r>
      <w:r w:rsidR="00BC516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jurisdiction</w:t>
      </w:r>
      <w:r w:rsidR="00DD7200">
        <w:rPr>
          <w:rFonts w:ascii="Arial Narrow" w:hAnsi="Arial Narrow"/>
          <w:sz w:val="24"/>
          <w:szCs w:val="24"/>
        </w:rPr>
        <w:t>.</w:t>
      </w:r>
    </w:p>
    <w:p w14:paraId="5CECCD29" w14:textId="77777777" w:rsidR="00F341B6" w:rsidRPr="00F341B6" w:rsidRDefault="00F341B6" w:rsidP="00F341B6">
      <w:pPr>
        <w:pStyle w:val="NoSpacing"/>
        <w:rPr>
          <w:rFonts w:ascii="Arial Narrow" w:hAnsi="Arial Narrow"/>
          <w:sz w:val="24"/>
          <w:szCs w:val="24"/>
        </w:rPr>
      </w:pPr>
    </w:p>
    <w:p w14:paraId="03877D82" w14:textId="71B09333" w:rsidR="00F341B6" w:rsidRPr="00F341B6" w:rsidRDefault="00F341B6" w:rsidP="00F341B6">
      <w:pPr>
        <w:pStyle w:val="NoSpacing"/>
        <w:rPr>
          <w:rFonts w:ascii="Arial Narrow" w:hAnsi="Arial Narrow"/>
          <w:b/>
          <w:sz w:val="24"/>
          <w:szCs w:val="24"/>
        </w:rPr>
      </w:pPr>
      <w:proofErr w:type="gramStart"/>
      <w:r w:rsidRPr="00F341B6">
        <w:rPr>
          <w:rFonts w:ascii="Arial Narrow" w:hAnsi="Arial Narrow"/>
          <w:b/>
          <w:sz w:val="24"/>
          <w:szCs w:val="24"/>
        </w:rPr>
        <w:t>THEREFORE</w:t>
      </w:r>
      <w:proofErr w:type="gramEnd"/>
      <w:r w:rsidRPr="00F341B6">
        <w:rPr>
          <w:rFonts w:ascii="Arial Narrow" w:hAnsi="Arial Narrow"/>
          <w:b/>
          <w:sz w:val="24"/>
          <w:szCs w:val="24"/>
        </w:rPr>
        <w:t xml:space="preserve"> BE IT RESOLVED that the Chiefs-in-Assembly:</w:t>
      </w:r>
    </w:p>
    <w:p w14:paraId="18B2C8D5" w14:textId="78D29C42" w:rsidR="00966CB9" w:rsidRPr="00F341B6" w:rsidRDefault="00C63BEF" w:rsidP="00966CB9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en-CA"/>
        </w:rPr>
        <w:t xml:space="preserve">Confirm that </w:t>
      </w:r>
      <w:r>
        <w:rPr>
          <w:rFonts w:ascii="Arial Narrow" w:hAnsi="Arial Narrow"/>
          <w:sz w:val="24"/>
          <w:szCs w:val="24"/>
        </w:rPr>
        <w:t>o</w:t>
      </w:r>
      <w:r w:rsidR="00966CB9">
        <w:rPr>
          <w:rFonts w:ascii="Arial Narrow" w:hAnsi="Arial Narrow"/>
          <w:sz w:val="24"/>
          <w:szCs w:val="24"/>
        </w:rPr>
        <w:t>nly First Nation</w:t>
      </w:r>
      <w:r>
        <w:rPr>
          <w:rFonts w:ascii="Arial Narrow" w:hAnsi="Arial Narrow"/>
          <w:sz w:val="24"/>
          <w:szCs w:val="24"/>
        </w:rPr>
        <w:t>s</w:t>
      </w:r>
      <w:r w:rsidR="00966CB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can </w:t>
      </w:r>
      <w:r w:rsidR="00966CB9">
        <w:rPr>
          <w:rFonts w:ascii="Arial Narrow" w:hAnsi="Arial Narrow"/>
          <w:sz w:val="24"/>
          <w:szCs w:val="24"/>
        </w:rPr>
        <w:t xml:space="preserve">determine the path to decolonization. </w:t>
      </w:r>
    </w:p>
    <w:p w14:paraId="3B459209" w14:textId="07DCFF87" w:rsidR="00F341B6" w:rsidRDefault="00C63BEF" w:rsidP="00F341B6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Reject Canada’s </w:t>
      </w:r>
      <w:r w:rsidRPr="009B29AA">
        <w:rPr>
          <w:rFonts w:ascii="Arial Narrow" w:hAnsi="Arial Narrow"/>
          <w:i/>
          <w:sz w:val="24"/>
          <w:szCs w:val="24"/>
        </w:rPr>
        <w:t>Principles Respecting the Government of Canada’s Relationship with Indigenous Peoples</w:t>
      </w:r>
      <w:r>
        <w:rPr>
          <w:rFonts w:ascii="Arial Narrow" w:hAnsi="Arial Narrow"/>
          <w:sz w:val="24"/>
          <w:szCs w:val="24"/>
        </w:rPr>
        <w:t xml:space="preserve"> </w:t>
      </w:r>
      <w:r w:rsidR="00744985">
        <w:rPr>
          <w:rFonts w:ascii="Arial Narrow" w:hAnsi="Arial Narrow"/>
          <w:sz w:val="24"/>
          <w:szCs w:val="24"/>
        </w:rPr>
        <w:t xml:space="preserve">(Ten Principles) </w:t>
      </w:r>
      <w:r>
        <w:rPr>
          <w:rFonts w:ascii="Arial Narrow" w:hAnsi="Arial Narrow"/>
          <w:sz w:val="24"/>
          <w:szCs w:val="24"/>
        </w:rPr>
        <w:t xml:space="preserve">as the basis of the relationship going forward. </w:t>
      </w:r>
    </w:p>
    <w:p w14:paraId="6701BC97" w14:textId="7B90DAE8" w:rsidR="00F341B6" w:rsidRPr="00F341B6" w:rsidRDefault="00C63BEF" w:rsidP="002001F4">
      <w:pPr>
        <w:numPr>
          <w:ilvl w:val="0"/>
          <w:numId w:val="3"/>
        </w:numPr>
        <w:spacing w:before="120"/>
        <w:jc w:val="lef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Reject the Recognition and Implementation of Indigenous Rights Framework</w:t>
      </w:r>
      <w:r w:rsidR="002B5810">
        <w:rPr>
          <w:rFonts w:ascii="Arial Narrow" w:hAnsi="Arial Narrow"/>
          <w:sz w:val="24"/>
          <w:szCs w:val="24"/>
        </w:rPr>
        <w:t xml:space="preserve"> (The Framework</w:t>
      </w:r>
      <w:proofErr w:type="gramStart"/>
      <w:r w:rsidR="002B5810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>, and</w:t>
      </w:r>
      <w:proofErr w:type="gramEnd"/>
      <w:r>
        <w:rPr>
          <w:rFonts w:ascii="Arial Narrow" w:hAnsi="Arial Narrow"/>
          <w:sz w:val="24"/>
          <w:szCs w:val="24"/>
        </w:rPr>
        <w:t xml:space="preserve"> will take all necessary steps to prevent the passing of any legislation</w:t>
      </w:r>
      <w:r w:rsidR="002B5810">
        <w:rPr>
          <w:rFonts w:ascii="Arial Narrow" w:hAnsi="Arial Narrow"/>
          <w:sz w:val="24"/>
          <w:szCs w:val="24"/>
        </w:rPr>
        <w:t xml:space="preserve"> related to The Framework </w:t>
      </w:r>
      <w:r>
        <w:rPr>
          <w:rFonts w:ascii="Arial Narrow" w:hAnsi="Arial Narrow"/>
          <w:sz w:val="24"/>
          <w:szCs w:val="24"/>
        </w:rPr>
        <w:t>created by the federal government.</w:t>
      </w:r>
    </w:p>
    <w:sectPr w:rsidR="00F341B6" w:rsidRPr="00F341B6" w:rsidSect="00F341B6">
      <w:headerReference w:type="default" r:id="rId7"/>
      <w:footerReference w:type="default" r:id="rId8"/>
      <w:pgSz w:w="12240" w:h="15840"/>
      <w:pgMar w:top="1440" w:right="1440" w:bottom="1440" w:left="1440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214C9" w14:textId="77777777" w:rsidR="00887095" w:rsidRDefault="00887095" w:rsidP="00F470A8">
      <w:r>
        <w:separator/>
      </w:r>
    </w:p>
  </w:endnote>
  <w:endnote w:type="continuationSeparator" w:id="0">
    <w:p w14:paraId="0C6F1938" w14:textId="77777777" w:rsidR="00887095" w:rsidRDefault="00887095" w:rsidP="00F4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061F" w14:textId="77777777" w:rsidR="00F341B6" w:rsidRPr="00F341B6" w:rsidRDefault="00F341B6" w:rsidP="00F341B6">
    <w:pPr>
      <w:pStyle w:val="Footer"/>
      <w:tabs>
        <w:tab w:val="clear" w:pos="4680"/>
      </w:tabs>
      <w:rPr>
        <w:rFonts w:ascii="Arial" w:hAnsi="Arial" w:cs="Arial"/>
        <w:i/>
        <w:sz w:val="20"/>
        <w:lang w:val="en-CA"/>
      </w:rPr>
    </w:pPr>
    <w:r w:rsidRPr="00F341B6">
      <w:rPr>
        <w:rFonts w:ascii="Arial" w:hAnsi="Arial" w:cs="Arial"/>
        <w:i/>
        <w:sz w:val="20"/>
        <w:lang w:val="en-CA"/>
      </w:rPr>
      <w:t>AFN Draft Resolution Template</w:t>
    </w:r>
    <w:r w:rsidRPr="00F341B6">
      <w:rPr>
        <w:rFonts w:ascii="Arial" w:hAnsi="Arial" w:cs="Arial"/>
        <w:i/>
        <w:sz w:val="20"/>
        <w:lang w:val="en-CA"/>
      </w:rPr>
      <w:tab/>
      <w:t xml:space="preserve">page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PAGE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9967F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  <w:r w:rsidRPr="00F341B6">
      <w:rPr>
        <w:rFonts w:ascii="Arial" w:hAnsi="Arial" w:cs="Arial"/>
        <w:b/>
        <w:i/>
        <w:sz w:val="20"/>
      </w:rPr>
      <w:t xml:space="preserve"> </w:t>
    </w:r>
    <w:r w:rsidRPr="00F341B6">
      <w:rPr>
        <w:rFonts w:ascii="Arial" w:hAnsi="Arial" w:cs="Arial"/>
        <w:i/>
        <w:sz w:val="20"/>
      </w:rPr>
      <w:t xml:space="preserve">of </w:t>
    </w:r>
    <w:r w:rsidRPr="00F341B6">
      <w:rPr>
        <w:rFonts w:ascii="Arial" w:hAnsi="Arial" w:cs="Arial"/>
        <w:b/>
        <w:i/>
        <w:sz w:val="20"/>
      </w:rPr>
      <w:fldChar w:fldCharType="begin"/>
    </w:r>
    <w:r w:rsidRPr="00F341B6">
      <w:rPr>
        <w:rFonts w:ascii="Arial" w:hAnsi="Arial" w:cs="Arial"/>
        <w:b/>
        <w:i/>
        <w:sz w:val="20"/>
      </w:rPr>
      <w:instrText xml:space="preserve"> NUMPAGES  </w:instrText>
    </w:r>
    <w:r w:rsidRPr="00F341B6">
      <w:rPr>
        <w:rFonts w:ascii="Arial" w:hAnsi="Arial" w:cs="Arial"/>
        <w:b/>
        <w:i/>
        <w:sz w:val="20"/>
      </w:rPr>
      <w:fldChar w:fldCharType="separate"/>
    </w:r>
    <w:r w:rsidR="009967F2">
      <w:rPr>
        <w:rFonts w:ascii="Arial" w:hAnsi="Arial" w:cs="Arial"/>
        <w:b/>
        <w:i/>
        <w:noProof/>
        <w:sz w:val="20"/>
      </w:rPr>
      <w:t>1</w:t>
    </w:r>
    <w:r w:rsidRPr="00F341B6">
      <w:rPr>
        <w:rFonts w:ascii="Arial" w:hAnsi="Arial" w:cs="Arial"/>
        <w:b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1649B" w14:textId="77777777" w:rsidR="00887095" w:rsidRDefault="00887095" w:rsidP="00F470A8">
      <w:r>
        <w:separator/>
      </w:r>
    </w:p>
  </w:footnote>
  <w:footnote w:type="continuationSeparator" w:id="0">
    <w:p w14:paraId="1E9D36C9" w14:textId="77777777" w:rsidR="00887095" w:rsidRDefault="00887095" w:rsidP="00F47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6F8DA" w14:textId="4087F25F" w:rsidR="00F470A8" w:rsidRPr="00F470A8" w:rsidRDefault="009967F2" w:rsidP="00F470A8">
    <w:pPr>
      <w:pStyle w:val="Header"/>
      <w:jc w:val="center"/>
      <w:rPr>
        <w:rFonts w:ascii="Arial" w:hAnsi="Arial" w:cs="Arial"/>
        <w:b/>
        <w:spacing w:val="1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Arial" w:hAnsi="Arial" w:cs="Arial"/>
        <w:b/>
        <w:spacing w:val="1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DRAFT RESOLUTION #00/201</w:t>
    </w:r>
    <w:r w:rsidR="00B555C8">
      <w:rPr>
        <w:rFonts w:ascii="Arial" w:hAnsi="Arial" w:cs="Arial"/>
        <w:b/>
        <w:spacing w:val="120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8</w:t>
    </w:r>
  </w:p>
  <w:p w14:paraId="64F5A6FF" w14:textId="77777777" w:rsidR="00F470A8" w:rsidRPr="00F341B6" w:rsidRDefault="00F470A8" w:rsidP="00F470A8">
    <w:pPr>
      <w:pStyle w:val="Header"/>
      <w:jc w:val="center"/>
      <w:rPr>
        <w:rFonts w:ascii="Arial" w:hAnsi="Arial" w:cs="Arial"/>
        <w:b/>
        <w:spacing w:val="120"/>
        <w:sz w:val="24"/>
        <w:szCs w:val="24"/>
      </w:rPr>
    </w:pPr>
  </w:p>
  <w:p w14:paraId="7CC53889" w14:textId="77777777" w:rsidR="00B555C8" w:rsidRDefault="00B555C8" w:rsidP="00B555C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AFN Annual General Assembly </w:t>
    </w:r>
  </w:p>
  <w:p w14:paraId="10E88167" w14:textId="147B81AC" w:rsidR="00F341B6" w:rsidRPr="00B555C8" w:rsidRDefault="00B555C8" w:rsidP="00B555C8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July 24 to 26, 2018, Vancouver (British Columbia)</w:t>
    </w:r>
    <w:r w:rsidR="009B29AA">
      <w:rPr>
        <w:rFonts w:ascii="Arial" w:hAnsi="Arial" w:cs="Arial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474FF"/>
    <w:multiLevelType w:val="hybridMultilevel"/>
    <w:tmpl w:val="6F36C224"/>
    <w:lvl w:ilvl="0" w:tplc="4596EE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009001B">
      <w:start w:val="1"/>
      <w:numFmt w:val="lowerRoman"/>
      <w:lvlText w:val="%2."/>
      <w:lvlJc w:val="righ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808C1"/>
    <w:multiLevelType w:val="hybridMultilevel"/>
    <w:tmpl w:val="9F282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7762A"/>
    <w:multiLevelType w:val="hybridMultilevel"/>
    <w:tmpl w:val="0310BAE8"/>
    <w:lvl w:ilvl="0" w:tplc="A626704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58B3"/>
    <w:multiLevelType w:val="hybridMultilevel"/>
    <w:tmpl w:val="F55EB6A0"/>
    <w:lvl w:ilvl="0" w:tplc="F394FA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A8"/>
    <w:rsid w:val="00013AB9"/>
    <w:rsid w:val="000D78C1"/>
    <w:rsid w:val="000F2088"/>
    <w:rsid w:val="00100489"/>
    <w:rsid w:val="00191873"/>
    <w:rsid w:val="002001F4"/>
    <w:rsid w:val="002B5810"/>
    <w:rsid w:val="002C0AE3"/>
    <w:rsid w:val="002E16BF"/>
    <w:rsid w:val="003815EB"/>
    <w:rsid w:val="00395AE9"/>
    <w:rsid w:val="004077C7"/>
    <w:rsid w:val="004205FA"/>
    <w:rsid w:val="004D3676"/>
    <w:rsid w:val="00567DC8"/>
    <w:rsid w:val="00617CC7"/>
    <w:rsid w:val="00687FDE"/>
    <w:rsid w:val="00711ECD"/>
    <w:rsid w:val="00715594"/>
    <w:rsid w:val="007414A5"/>
    <w:rsid w:val="00744985"/>
    <w:rsid w:val="00792745"/>
    <w:rsid w:val="007E5FA8"/>
    <w:rsid w:val="007F33DF"/>
    <w:rsid w:val="00823877"/>
    <w:rsid w:val="008420CF"/>
    <w:rsid w:val="00887095"/>
    <w:rsid w:val="009159D7"/>
    <w:rsid w:val="00951144"/>
    <w:rsid w:val="00966CB9"/>
    <w:rsid w:val="009967F2"/>
    <w:rsid w:val="009B29AA"/>
    <w:rsid w:val="009C0461"/>
    <w:rsid w:val="009D4816"/>
    <w:rsid w:val="009F2AFF"/>
    <w:rsid w:val="00A0060E"/>
    <w:rsid w:val="00A1544B"/>
    <w:rsid w:val="00A240BE"/>
    <w:rsid w:val="00A30F3C"/>
    <w:rsid w:val="00A65509"/>
    <w:rsid w:val="00A92066"/>
    <w:rsid w:val="00B227B8"/>
    <w:rsid w:val="00B555C8"/>
    <w:rsid w:val="00BC5169"/>
    <w:rsid w:val="00BF19B4"/>
    <w:rsid w:val="00BF49CA"/>
    <w:rsid w:val="00C63BEF"/>
    <w:rsid w:val="00C950D7"/>
    <w:rsid w:val="00CB2947"/>
    <w:rsid w:val="00D717D5"/>
    <w:rsid w:val="00D8348D"/>
    <w:rsid w:val="00DB25C1"/>
    <w:rsid w:val="00DD7200"/>
    <w:rsid w:val="00DF0E0E"/>
    <w:rsid w:val="00E0563E"/>
    <w:rsid w:val="00EA329F"/>
    <w:rsid w:val="00EC3D2C"/>
    <w:rsid w:val="00F021EC"/>
    <w:rsid w:val="00F341B6"/>
    <w:rsid w:val="00F470A8"/>
    <w:rsid w:val="00F808C2"/>
    <w:rsid w:val="00FF197E"/>
    <w:rsid w:val="00F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68233"/>
  <w15:docId w15:val="{963DD16D-40DD-4005-AADD-F0DF1927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B6"/>
    <w:pPr>
      <w:spacing w:after="0" w:line="240" w:lineRule="auto"/>
      <w:jc w:val="both"/>
    </w:pPr>
    <w:rPr>
      <w:rFonts w:ascii="Garamond" w:eastAsia="Times New Roman" w:hAnsi="Garamond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70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0A8"/>
  </w:style>
  <w:style w:type="paragraph" w:styleId="Footer">
    <w:name w:val="footer"/>
    <w:basedOn w:val="Normal"/>
    <w:link w:val="FooterChar"/>
    <w:uiPriority w:val="99"/>
    <w:unhideWhenUsed/>
    <w:rsid w:val="00F47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0A8"/>
  </w:style>
  <w:style w:type="paragraph" w:customStyle="1" w:styleId="Objective">
    <w:name w:val="Objective"/>
    <w:basedOn w:val="Normal"/>
    <w:next w:val="BodyText"/>
    <w:rsid w:val="00F341B6"/>
    <w:pPr>
      <w:spacing w:before="60" w:after="220" w:line="220" w:lineRule="atLeast"/>
    </w:pPr>
  </w:style>
  <w:style w:type="paragraph" w:customStyle="1" w:styleId="Achievement">
    <w:name w:val="Achievement"/>
    <w:basedOn w:val="BodyText"/>
    <w:rsid w:val="00F341B6"/>
    <w:pPr>
      <w:spacing w:after="60" w:line="240" w:lineRule="atLeast"/>
      <w:ind w:left="240" w:hanging="240"/>
    </w:pPr>
  </w:style>
  <w:style w:type="paragraph" w:customStyle="1" w:styleId="NoTitle">
    <w:name w:val="No Title"/>
    <w:basedOn w:val="Normal"/>
    <w:rsid w:val="00F341B6"/>
    <w:pPr>
      <w:spacing w:before="220" w:line="220" w:lineRule="atLeast"/>
      <w:jc w:val="left"/>
    </w:pPr>
    <w:rPr>
      <w:caps/>
      <w:spacing w:val="15"/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34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341B6"/>
    <w:rPr>
      <w:rFonts w:ascii="Garamond" w:eastAsia="Times New Roman" w:hAnsi="Garamond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341B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481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E16BF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A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E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Kettler</dc:creator>
  <cp:lastModifiedBy>Chris Hoyos</cp:lastModifiedBy>
  <cp:revision>8</cp:revision>
  <cp:lastPrinted>2018-07-05T19:18:00Z</cp:lastPrinted>
  <dcterms:created xsi:type="dcterms:W3CDTF">2018-07-06T16:14:00Z</dcterms:created>
  <dcterms:modified xsi:type="dcterms:W3CDTF">2018-07-06T19:44:00Z</dcterms:modified>
</cp:coreProperties>
</file>