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529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71"/>
        <w:gridCol w:w="7560"/>
      </w:tblGrid>
      <w:tr w:rsidR="004C707A" w14:paraId="647648B1" w14:textId="77777777" w:rsidTr="004C707A">
        <w:trPr>
          <w:trHeight w:val="333"/>
        </w:trPr>
        <w:tc>
          <w:tcPr>
            <w:tcW w:w="1217" w:type="pct"/>
          </w:tcPr>
          <w:p w14:paraId="4B1435B4" w14:textId="77777777" w:rsidR="004C707A" w:rsidRDefault="004C707A"/>
        </w:tc>
        <w:tc>
          <w:tcPr>
            <w:tcW w:w="131" w:type="pct"/>
          </w:tcPr>
          <w:p w14:paraId="615D0D09" w14:textId="77777777" w:rsidR="004C707A" w:rsidRPr="000A13EA" w:rsidRDefault="004C707A" w:rsidP="00661042">
            <w:pPr>
              <w:rPr>
                <w:b/>
              </w:rPr>
            </w:pPr>
          </w:p>
        </w:tc>
        <w:tc>
          <w:tcPr>
            <w:tcW w:w="3652" w:type="pct"/>
          </w:tcPr>
          <w:p w14:paraId="49C9F985" w14:textId="77777777" w:rsidR="004C707A" w:rsidRPr="00BF38C6" w:rsidRDefault="004C707A" w:rsidP="00035DB2">
            <w:pPr>
              <w:jc w:val="both"/>
              <w:rPr>
                <w:b/>
              </w:rPr>
            </w:pPr>
          </w:p>
        </w:tc>
      </w:tr>
      <w:tr w:rsidR="00D92345" w14:paraId="6C30D464" w14:textId="77777777" w:rsidTr="004C707A">
        <w:trPr>
          <w:trHeight w:val="693"/>
        </w:trPr>
        <w:tc>
          <w:tcPr>
            <w:tcW w:w="1217" w:type="pct"/>
          </w:tcPr>
          <w:p w14:paraId="28CFA54A" w14:textId="77777777" w:rsidR="00D92345" w:rsidRDefault="00D92345"/>
        </w:tc>
        <w:tc>
          <w:tcPr>
            <w:tcW w:w="131" w:type="pct"/>
          </w:tcPr>
          <w:p w14:paraId="4104CC71" w14:textId="77777777" w:rsidR="00D92345" w:rsidRPr="000A13EA" w:rsidRDefault="00D92345" w:rsidP="00661042">
            <w:pPr>
              <w:rPr>
                <w:b/>
              </w:rPr>
            </w:pPr>
          </w:p>
        </w:tc>
        <w:tc>
          <w:tcPr>
            <w:tcW w:w="3652" w:type="pct"/>
            <w:vMerge w:val="restart"/>
          </w:tcPr>
          <w:p w14:paraId="7023EC9B" w14:textId="0CE77439" w:rsidR="00BF38C6" w:rsidRPr="00BF38C6" w:rsidRDefault="00BF38C6" w:rsidP="00035DB2">
            <w:pPr>
              <w:jc w:val="both"/>
              <w:rPr>
                <w:b/>
              </w:rPr>
            </w:pPr>
            <w:r w:rsidRPr="00BF38C6">
              <w:rPr>
                <w:b/>
              </w:rPr>
              <w:t xml:space="preserve">WHEREAS, </w:t>
            </w:r>
            <w:r w:rsidRPr="00BF38C6">
              <w:t>the member First Nations of the Association of Iroquois and Allied Indians</w:t>
            </w:r>
            <w:r w:rsidR="00854571">
              <w:t xml:space="preserve"> (AIAI)</w:t>
            </w:r>
            <w:r w:rsidRPr="00BF38C6">
              <w:t xml:space="preserve"> affirm their sovereignty, founded in the responsibilities provided to their respective Nations by the Creator;</w:t>
            </w:r>
          </w:p>
          <w:p w14:paraId="2D38E32E" w14:textId="77777777" w:rsidR="00BF38C6" w:rsidRPr="00BF38C6" w:rsidRDefault="00BF38C6" w:rsidP="00035DB2">
            <w:pPr>
              <w:jc w:val="both"/>
              <w:rPr>
                <w:b/>
              </w:rPr>
            </w:pPr>
          </w:p>
          <w:p w14:paraId="155BC510" w14:textId="7CA3A38B" w:rsidR="00D77974" w:rsidRDefault="00BF38C6" w:rsidP="00035DB2">
            <w:pPr>
              <w:jc w:val="both"/>
            </w:pPr>
            <w:r w:rsidRPr="00BF38C6">
              <w:rPr>
                <w:b/>
              </w:rPr>
              <w:t xml:space="preserve">WHEREAS, </w:t>
            </w:r>
            <w:r w:rsidRPr="00BF38C6">
              <w:t>First Nations’ self-determination pre-exists contact with external governments and entities. That self-determination and sovereignty remains today, and has not and cannot be surrendered;</w:t>
            </w:r>
          </w:p>
          <w:p w14:paraId="79AC0B28" w14:textId="77777777" w:rsidR="00D77974" w:rsidRDefault="00D77974" w:rsidP="00035DB2">
            <w:pPr>
              <w:jc w:val="both"/>
            </w:pPr>
          </w:p>
          <w:p w14:paraId="083BC91E" w14:textId="76370841" w:rsidR="009B370D" w:rsidRDefault="009B370D" w:rsidP="00035DB2">
            <w:pPr>
              <w:jc w:val="both"/>
            </w:pPr>
            <w:r w:rsidRPr="009B370D">
              <w:rPr>
                <w:b/>
              </w:rPr>
              <w:t>WHEREAS,</w:t>
            </w:r>
            <w:r>
              <w:t xml:space="preserve"> </w:t>
            </w:r>
            <w:r w:rsidR="009A0AD0">
              <w:t>treaty First Peoples and Nations possess and continue to maintain valid, legally enforceable Treaty and Treaty rights under international law;</w:t>
            </w:r>
          </w:p>
          <w:p w14:paraId="173927A5" w14:textId="06B2A2E9" w:rsidR="009B370D" w:rsidRDefault="009B370D" w:rsidP="00035DB2">
            <w:pPr>
              <w:jc w:val="both"/>
            </w:pPr>
          </w:p>
          <w:p w14:paraId="6EF459E9" w14:textId="290E15EB" w:rsidR="00D77974" w:rsidRDefault="009B370D" w:rsidP="00035DB2">
            <w:pPr>
              <w:jc w:val="both"/>
            </w:pPr>
            <w:r w:rsidRPr="009B370D">
              <w:rPr>
                <w:b/>
              </w:rPr>
              <w:t>WHEREAS,</w:t>
            </w:r>
            <w:r>
              <w:t xml:space="preserve"> the relationship between First Nations and Canada must be governed by all international law and UN conventions, including: the </w:t>
            </w:r>
            <w:r w:rsidRPr="00965106">
              <w:t>International Convention on Social</w:t>
            </w:r>
            <w:r w:rsidR="00BE54E7">
              <w:t>;</w:t>
            </w:r>
            <w:r w:rsidRPr="00965106">
              <w:t xml:space="preserve"> Economic and Cultural rights</w:t>
            </w:r>
            <w:r w:rsidR="00BE54E7">
              <w:t>;</w:t>
            </w:r>
            <w:r w:rsidRPr="00965106">
              <w:t xml:space="preserve"> the International Covenant on Civil and Political Rights</w:t>
            </w:r>
            <w:r w:rsidR="00BE54E7">
              <w:t>;</w:t>
            </w:r>
            <w:r w:rsidRPr="00965106">
              <w:t xml:space="preserve"> the Convention on the Prevention and Punishment of the Crime of Genocide</w:t>
            </w:r>
            <w:r w:rsidR="00BE54E7">
              <w:t>;</w:t>
            </w:r>
            <w:r w:rsidRPr="00965106">
              <w:t xml:space="preserve"> UN General Assembly Resolution 1803 (XVII) of 14 December, 1962 "Permanent sovereignty over natural resources"</w:t>
            </w:r>
            <w:r w:rsidR="00BE54E7">
              <w:t>;</w:t>
            </w:r>
            <w:r w:rsidRPr="00965106">
              <w:t xml:space="preserve"> the Universal Declaration of Human Rights</w:t>
            </w:r>
            <w:r w:rsidR="00BE54E7">
              <w:t>;</w:t>
            </w:r>
            <w:r w:rsidRPr="00965106">
              <w:t xml:space="preserve"> the Geneva Conventions</w:t>
            </w:r>
            <w:r w:rsidR="00BE54E7">
              <w:t>;</w:t>
            </w:r>
            <w:r>
              <w:t xml:space="preserve"> and</w:t>
            </w:r>
            <w:r w:rsidRPr="00965106">
              <w:t xml:space="preserve"> the Convent</w:t>
            </w:r>
            <w:r>
              <w:t>ion of the Rights of the Child</w:t>
            </w:r>
            <w:r w:rsidR="00BE54E7">
              <w:t>;</w:t>
            </w:r>
          </w:p>
          <w:p w14:paraId="01F76422" w14:textId="77777777" w:rsidR="00D77974" w:rsidRDefault="00D77974" w:rsidP="00035DB2">
            <w:pPr>
              <w:jc w:val="both"/>
            </w:pPr>
          </w:p>
          <w:p w14:paraId="14B3238C" w14:textId="41852199" w:rsidR="009B370D" w:rsidRDefault="009B370D" w:rsidP="009B370D">
            <w:r w:rsidRPr="009B370D">
              <w:rPr>
                <w:b/>
              </w:rPr>
              <w:t>WHEREAS,</w:t>
            </w:r>
            <w:r>
              <w:t xml:space="preserve"> consent </w:t>
            </w:r>
            <w:r w:rsidR="00060A02">
              <w:t>is</w:t>
            </w:r>
            <w:r>
              <w:t xml:space="preserve"> an integral part of the historic treaty process and is necessary for a true nation-to-nation relationship</w:t>
            </w:r>
            <w:r w:rsidR="00E92822">
              <w:t>. T</w:t>
            </w:r>
            <w:r>
              <w:t xml:space="preserve">he </w:t>
            </w:r>
            <w:r w:rsidR="00060A02">
              <w:t xml:space="preserve">Recognition and Implementation of Indigenous </w:t>
            </w:r>
            <w:r>
              <w:t xml:space="preserve">Rights Framework </w:t>
            </w:r>
            <w:r w:rsidR="00060A02">
              <w:t xml:space="preserve">(the Rights Framework) </w:t>
            </w:r>
            <w:r>
              <w:t>and associated processes</w:t>
            </w:r>
            <w:r w:rsidR="009A0AD0">
              <w:t xml:space="preserve"> openly reject full consent </w:t>
            </w:r>
            <w:r w:rsidR="00060A02">
              <w:t>as a guiding principle</w:t>
            </w:r>
            <w:r>
              <w:t>;</w:t>
            </w:r>
          </w:p>
          <w:p w14:paraId="79BC9E0A" w14:textId="5407DD84" w:rsidR="009A0AD0" w:rsidRDefault="009A0AD0" w:rsidP="009B370D"/>
          <w:p w14:paraId="4CCA02C5" w14:textId="0C038E81" w:rsidR="009A0AD0" w:rsidRDefault="00E92822" w:rsidP="009B370D">
            <w:r w:rsidRPr="009B370D">
              <w:rPr>
                <w:b/>
              </w:rPr>
              <w:t>WHEREAS,</w:t>
            </w:r>
            <w:r>
              <w:t xml:space="preserve"> </w:t>
            </w:r>
            <w:r w:rsidRPr="009935EE">
              <w:t>C</w:t>
            </w:r>
            <w:r>
              <w:t>anada’s c</w:t>
            </w:r>
            <w:r w:rsidRPr="009935EE">
              <w:t>onsultation and engagement</w:t>
            </w:r>
            <w:r>
              <w:t xml:space="preserve"> processes cannot be considered consent and are meant to serve Canadian </w:t>
            </w:r>
            <w:r w:rsidRPr="009935EE">
              <w:t xml:space="preserve">national interest </w:t>
            </w:r>
            <w:r>
              <w:t xml:space="preserve">by </w:t>
            </w:r>
            <w:r w:rsidRPr="009935EE">
              <w:t>ov</w:t>
            </w:r>
            <w:r>
              <w:t>erriding First Peoples and Nations’ sovereignty</w:t>
            </w:r>
            <w:r w:rsidR="00CD3046">
              <w:t>. G</w:t>
            </w:r>
            <w:r w:rsidR="009A0AD0">
              <w:t xml:space="preserve">overnment engagement processes with non-rights holders and organizations, such as the Assembly of First Nations (AFN), do not constitute consultation and </w:t>
            </w:r>
            <w:r w:rsidR="00060A02">
              <w:t>accommodation and cannot be used to obtain consent;</w:t>
            </w:r>
          </w:p>
          <w:p w14:paraId="6A80F4B6" w14:textId="77777777" w:rsidR="00BE54E7" w:rsidRDefault="00BE54E7" w:rsidP="00060A02">
            <w:pPr>
              <w:rPr>
                <w:b/>
              </w:rPr>
            </w:pPr>
          </w:p>
          <w:p w14:paraId="648C6934" w14:textId="79ACEA9F" w:rsidR="00D77974" w:rsidRDefault="00D77974" w:rsidP="00D77974">
            <w:pPr>
              <w:jc w:val="both"/>
            </w:pPr>
          </w:p>
          <w:p w14:paraId="6D6D244E" w14:textId="746BEA17" w:rsidR="00D77974" w:rsidRDefault="00D77974" w:rsidP="00D77974">
            <w:r w:rsidRPr="00D77974">
              <w:rPr>
                <w:b/>
              </w:rPr>
              <w:t>WHEREAS,</w:t>
            </w:r>
            <w:r>
              <w:t xml:space="preserve"> The </w:t>
            </w:r>
            <w:r w:rsidRPr="00965106">
              <w:t>Canadian Constitution has completely faile</w:t>
            </w:r>
            <w:r>
              <w:t>d to protect the relationship between First Peoples and Nations and Canada</w:t>
            </w:r>
            <w:r w:rsidR="00E92822">
              <w:t>. T</w:t>
            </w:r>
            <w:r>
              <w:t xml:space="preserve">he Canadian </w:t>
            </w:r>
            <w:r>
              <w:lastRenderedPageBreak/>
              <w:t xml:space="preserve">Constitution </w:t>
            </w:r>
            <w:r w:rsidRPr="00965106">
              <w:t>reflects a 200-year-old structure and belief system that sees and treats First</w:t>
            </w:r>
            <w:r>
              <w:t xml:space="preserve"> Peoples and</w:t>
            </w:r>
            <w:r w:rsidRPr="00965106">
              <w:t xml:space="preserve"> Nations as inferior to </w:t>
            </w:r>
            <w:r>
              <w:t>Canadian state institutions;</w:t>
            </w:r>
          </w:p>
          <w:p w14:paraId="728B0CFC" w14:textId="77777777" w:rsidR="00D77974" w:rsidRDefault="00D77974" w:rsidP="00D77974"/>
          <w:p w14:paraId="649DFBB2" w14:textId="46B80F68" w:rsidR="00D77974" w:rsidRPr="00D77974" w:rsidRDefault="00D77974" w:rsidP="00E92822">
            <w:r w:rsidRPr="00D77974">
              <w:rPr>
                <w:b/>
              </w:rPr>
              <w:t>WHEREAS,</w:t>
            </w:r>
            <w:r>
              <w:t xml:space="preserve"> First Peoples and Nations’ inherent rights and jurisdictions cannot be derived from the </w:t>
            </w:r>
            <w:r w:rsidRPr="00D77974">
              <w:rPr>
                <w:i/>
              </w:rPr>
              <w:t>Constitution Act, 1982</w:t>
            </w:r>
            <w:r w:rsidR="00E92822">
              <w:rPr>
                <w:i/>
              </w:rPr>
              <w:t xml:space="preserve">. </w:t>
            </w:r>
            <w:r w:rsidR="00E92822" w:rsidRPr="00E92822">
              <w:t>T</w:t>
            </w:r>
            <w:r>
              <w:t>he Rights Framework and associated processes continue to emphasize the supremacy of the Canadian constitutional framework and constrains the possibilities for self-determination among First Nations;</w:t>
            </w:r>
          </w:p>
          <w:p w14:paraId="18E5FEDD" w14:textId="77777777" w:rsidR="00060A02" w:rsidRDefault="00060A02" w:rsidP="009B370D"/>
          <w:p w14:paraId="6A7F5ECB" w14:textId="5698FF1C" w:rsidR="00021CBC" w:rsidRDefault="00021CBC" w:rsidP="009B370D">
            <w:r w:rsidRPr="00021CBC">
              <w:rPr>
                <w:b/>
              </w:rPr>
              <w:t>WHEREAS,</w:t>
            </w:r>
            <w:r>
              <w:t xml:space="preserve"> </w:t>
            </w:r>
            <w:r w:rsidR="00E33CA3">
              <w:t>t</w:t>
            </w:r>
            <w:r>
              <w:t xml:space="preserve">he Rights Framework </w:t>
            </w:r>
            <w:r w:rsidR="009A0AD0">
              <w:t xml:space="preserve">and associated processes openly support the infringement of the inherent rights of First Peoples and Nations; </w:t>
            </w:r>
          </w:p>
          <w:p w14:paraId="33DD4DAC" w14:textId="4BF988FD" w:rsidR="00D77974" w:rsidRDefault="00D77974" w:rsidP="009B370D"/>
          <w:p w14:paraId="225CE13E" w14:textId="22A2F439" w:rsidR="00D77974" w:rsidRDefault="00D77974" w:rsidP="00D77974">
            <w:pPr>
              <w:jc w:val="both"/>
            </w:pPr>
            <w:r>
              <w:rPr>
                <w:b/>
              </w:rPr>
              <w:t xml:space="preserve">WHEREAS, </w:t>
            </w:r>
            <w:r>
              <w:t>only First Peoples and Nations can determine the processes of decolonization</w:t>
            </w:r>
            <w:r w:rsidR="00CD3046">
              <w:t>. Th</w:t>
            </w:r>
            <w:r>
              <w:t>e Rights Framework and associated processes have been established unilaterally by the Federal Government;</w:t>
            </w:r>
          </w:p>
          <w:p w14:paraId="427C7C45" w14:textId="77777777" w:rsidR="009B370D" w:rsidRPr="00C24055" w:rsidRDefault="009B370D" w:rsidP="009B370D">
            <w:pPr>
              <w:jc w:val="both"/>
            </w:pPr>
          </w:p>
          <w:p w14:paraId="12392619" w14:textId="26A85EE5" w:rsidR="00BF38C6" w:rsidRPr="00BF38C6" w:rsidRDefault="00C24055" w:rsidP="00060A02">
            <w:pPr>
              <w:jc w:val="both"/>
              <w:rPr>
                <w:b/>
              </w:rPr>
            </w:pPr>
            <w:r>
              <w:rPr>
                <w:b/>
              </w:rPr>
              <w:t xml:space="preserve">WHEREAS, </w:t>
            </w:r>
            <w:r w:rsidR="00D77974" w:rsidRPr="00D77974">
              <w:t>t</w:t>
            </w:r>
            <w:r w:rsidRPr="00C24055">
              <w:t>he Rights Framework</w:t>
            </w:r>
            <w:r>
              <w:t xml:space="preserve"> process purposely sidelines important questions of Aboriginal title, consent, treaty obligations, land rights, and access to natural resources</w:t>
            </w:r>
            <w:r w:rsidR="00854571">
              <w:t>.</w:t>
            </w:r>
            <w:r w:rsidR="00BF38C6">
              <w:rPr>
                <w:b/>
              </w:rPr>
              <w:br/>
            </w:r>
          </w:p>
          <w:p w14:paraId="73FCE1FF" w14:textId="72DA475E" w:rsidR="00BE54E7" w:rsidRPr="00BE54E7" w:rsidRDefault="00BF38C6" w:rsidP="00035DB2">
            <w:pPr>
              <w:jc w:val="both"/>
            </w:pPr>
            <w:r w:rsidRPr="00BF38C6">
              <w:rPr>
                <w:b/>
              </w:rPr>
              <w:t xml:space="preserve">THEREFORE, BE IT RESOLVED, </w:t>
            </w:r>
            <w:r w:rsidR="0007189B" w:rsidRPr="0007189B">
              <w:t xml:space="preserve">the General Assembly </w:t>
            </w:r>
            <w:r w:rsidR="00BE54E7">
              <w:t>reject</w:t>
            </w:r>
            <w:r w:rsidR="008B0015">
              <w:t>s</w:t>
            </w:r>
            <w:r w:rsidR="00BE54E7">
              <w:t xml:space="preserve"> the </w:t>
            </w:r>
            <w:r w:rsidR="00E92822">
              <w:t xml:space="preserve">Recognition and Implementation of Indigenous </w:t>
            </w:r>
            <w:r w:rsidR="00BE54E7">
              <w:t xml:space="preserve">Rights Framework </w:t>
            </w:r>
            <w:r w:rsidR="00E92822">
              <w:t xml:space="preserve">(the Rights Framework) </w:t>
            </w:r>
            <w:r w:rsidR="00BE54E7">
              <w:t>and will take all necessary steps to</w:t>
            </w:r>
            <w:r w:rsidR="00185E37">
              <w:t xml:space="preserve"> prevent</w:t>
            </w:r>
            <w:r w:rsidR="00BE54E7">
              <w:t xml:space="preserve"> </w:t>
            </w:r>
            <w:r w:rsidR="00185E37">
              <w:t>the passing of</w:t>
            </w:r>
            <w:r w:rsidR="00BE54E7">
              <w:t xml:space="preserve"> the Rights Framework legislation scheduled to be introduced in Fall 2018;</w:t>
            </w:r>
          </w:p>
          <w:p w14:paraId="3CD769E5" w14:textId="77777777" w:rsidR="005A0DB5" w:rsidRDefault="005A0DB5" w:rsidP="00035DB2">
            <w:pPr>
              <w:jc w:val="both"/>
              <w:rPr>
                <w:b/>
              </w:rPr>
            </w:pPr>
          </w:p>
          <w:p w14:paraId="67F4A9C8" w14:textId="286A45DD" w:rsidR="00D92345" w:rsidRDefault="007B226C" w:rsidP="00035DB2">
            <w:pPr>
              <w:jc w:val="both"/>
            </w:pPr>
            <w:r>
              <w:rPr>
                <w:b/>
              </w:rPr>
              <w:t>FINALLY,</w:t>
            </w:r>
            <w:r w:rsidR="005A0DB5">
              <w:rPr>
                <w:b/>
              </w:rPr>
              <w:t xml:space="preserve"> BE IT RESOLVED,</w:t>
            </w:r>
            <w:r w:rsidR="00185E37">
              <w:rPr>
                <w:b/>
              </w:rPr>
              <w:t xml:space="preserve"> </w:t>
            </w:r>
            <w:r w:rsidR="00CD3046">
              <w:t>that</w:t>
            </w:r>
            <w:r w:rsidR="00854571">
              <w:t xml:space="preserve"> AIAI will</w:t>
            </w:r>
            <w:r w:rsidR="00CD3046">
              <w:t>: schedule discussion with like-minded</w:t>
            </w:r>
            <w:r w:rsidR="00E33CA3">
              <w:t xml:space="preserve"> First Nations g</w:t>
            </w:r>
            <w:r w:rsidR="00CD3046">
              <w:t>roups</w:t>
            </w:r>
            <w:r w:rsidR="00E33CA3">
              <w:t xml:space="preserve"> and individuals</w:t>
            </w:r>
            <w:r w:rsidR="00CD3046">
              <w:t xml:space="preserve"> to rally support; carry out an advocacy and awareness campaign; publicly assert their opposition to the Rights Framework; and</w:t>
            </w:r>
            <w:r>
              <w:t xml:space="preserve"> develop and disseminate a</w:t>
            </w:r>
            <w:r w:rsidR="00E33CA3">
              <w:t xml:space="preserve"> true nation-to-nation framework</w:t>
            </w:r>
            <w:r>
              <w:t xml:space="preserve">. </w:t>
            </w:r>
            <w:r w:rsidR="00CD3046">
              <w:t xml:space="preserve"> </w:t>
            </w:r>
          </w:p>
          <w:p w14:paraId="30BF9ADF" w14:textId="77777777" w:rsidR="00421FB9" w:rsidRDefault="00421FB9" w:rsidP="00035DB2">
            <w:pPr>
              <w:jc w:val="both"/>
            </w:pPr>
          </w:p>
          <w:p w14:paraId="7A6E1537" w14:textId="30225910" w:rsidR="00421FB9" w:rsidRPr="007B226C" w:rsidRDefault="00421FB9" w:rsidP="00035DB2">
            <w:pPr>
              <w:jc w:val="both"/>
            </w:pPr>
            <w:bookmarkStart w:id="0" w:name="_GoBack"/>
            <w:bookmarkEnd w:id="0"/>
          </w:p>
        </w:tc>
      </w:tr>
      <w:tr w:rsidR="00D92345" w14:paraId="77FBBB64" w14:textId="77777777" w:rsidTr="00BF38C6">
        <w:trPr>
          <w:trHeight w:val="908"/>
        </w:trPr>
        <w:tc>
          <w:tcPr>
            <w:tcW w:w="1217" w:type="pct"/>
          </w:tcPr>
          <w:p w14:paraId="2850F272" w14:textId="77777777" w:rsidR="00D92345" w:rsidRPr="00BF38C6" w:rsidRDefault="00D92345" w:rsidP="003045A1">
            <w:pPr>
              <w:rPr>
                <w:b/>
                <w:sz w:val="20"/>
              </w:rPr>
            </w:pPr>
            <w:r w:rsidRPr="00BF38C6">
              <w:rPr>
                <w:b/>
                <w:sz w:val="20"/>
              </w:rPr>
              <w:t>MOVED BY:</w:t>
            </w:r>
          </w:p>
          <w:p w14:paraId="4471CB77" w14:textId="3B51A633" w:rsidR="00D92345" w:rsidRPr="00B81E28" w:rsidRDefault="00813391" w:rsidP="003045A1">
            <w:pPr>
              <w:rPr>
                <w:b/>
                <w:sz w:val="20"/>
              </w:rPr>
            </w:pPr>
            <w:r w:rsidRPr="00B81E28">
              <w:rPr>
                <w:b/>
                <w:sz w:val="20"/>
              </w:rPr>
              <w:t>Chief Mary Duckworth</w:t>
            </w:r>
          </w:p>
          <w:p w14:paraId="5C977C14" w14:textId="483BCBCC" w:rsidR="00D92345" w:rsidRPr="00035DB2" w:rsidRDefault="00813391" w:rsidP="003045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Caldwell First Nation</w:t>
            </w:r>
          </w:p>
          <w:p w14:paraId="3A800207" w14:textId="77777777" w:rsidR="00BF38C6" w:rsidRPr="003045A1" w:rsidRDefault="00BF38C6" w:rsidP="003045A1">
            <w:pPr>
              <w:rPr>
                <w:b/>
              </w:rPr>
            </w:pPr>
          </w:p>
        </w:tc>
        <w:tc>
          <w:tcPr>
            <w:tcW w:w="131" w:type="pct"/>
          </w:tcPr>
          <w:p w14:paraId="5BDA9C8F" w14:textId="77777777" w:rsidR="00D92345" w:rsidRDefault="00D92345"/>
        </w:tc>
        <w:tc>
          <w:tcPr>
            <w:tcW w:w="3652" w:type="pct"/>
            <w:vMerge/>
          </w:tcPr>
          <w:p w14:paraId="6CB507DE" w14:textId="77777777" w:rsidR="00D92345" w:rsidRDefault="00D92345"/>
        </w:tc>
      </w:tr>
      <w:tr w:rsidR="00D92345" w14:paraId="06D9E78E" w14:textId="77777777" w:rsidTr="00BF38C6">
        <w:trPr>
          <w:trHeight w:val="908"/>
        </w:trPr>
        <w:tc>
          <w:tcPr>
            <w:tcW w:w="1217" w:type="pct"/>
          </w:tcPr>
          <w:p w14:paraId="0F50F354" w14:textId="77777777" w:rsidR="00D92345" w:rsidRPr="00BF38C6" w:rsidRDefault="00D92345" w:rsidP="003045A1">
            <w:pPr>
              <w:rPr>
                <w:b/>
                <w:sz w:val="20"/>
              </w:rPr>
            </w:pPr>
            <w:r w:rsidRPr="00BF38C6">
              <w:rPr>
                <w:b/>
                <w:sz w:val="20"/>
              </w:rPr>
              <w:t xml:space="preserve">SECONDED BY: </w:t>
            </w:r>
          </w:p>
          <w:p w14:paraId="2F9384B4" w14:textId="47918086" w:rsidR="005A0DB5" w:rsidRPr="00B81E28" w:rsidRDefault="00813391" w:rsidP="005A0DB5">
            <w:pPr>
              <w:rPr>
                <w:b/>
                <w:sz w:val="20"/>
              </w:rPr>
            </w:pPr>
            <w:r w:rsidRPr="00B81E28">
              <w:rPr>
                <w:b/>
                <w:sz w:val="20"/>
              </w:rPr>
              <w:t>Chief Denise Stonefish</w:t>
            </w:r>
          </w:p>
          <w:p w14:paraId="62383CF9" w14:textId="77777777" w:rsidR="00854571" w:rsidRPr="00105C77" w:rsidRDefault="00854571" w:rsidP="00854571">
            <w:pPr>
              <w:rPr>
                <w:b/>
                <w:iCs/>
                <w:sz w:val="20"/>
                <w:szCs w:val="20"/>
              </w:rPr>
            </w:pPr>
            <w:proofErr w:type="spellStart"/>
            <w:r w:rsidRPr="00105C77">
              <w:rPr>
                <w:b/>
                <w:iCs/>
                <w:sz w:val="20"/>
                <w:szCs w:val="20"/>
              </w:rPr>
              <w:t>Eelŭnaapéewi</w:t>
            </w:r>
            <w:proofErr w:type="spellEnd"/>
            <w:r w:rsidRPr="00105C77"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105C77">
              <w:rPr>
                <w:b/>
                <w:iCs/>
                <w:sz w:val="20"/>
                <w:szCs w:val="20"/>
              </w:rPr>
              <w:t>Lahkéewiit</w:t>
            </w:r>
            <w:proofErr w:type="spellEnd"/>
          </w:p>
          <w:p w14:paraId="2287F4F3" w14:textId="77777777" w:rsidR="00854571" w:rsidRPr="00105C77" w:rsidRDefault="00854571" w:rsidP="00854571">
            <w:pPr>
              <w:rPr>
                <w:b/>
                <w:iCs/>
                <w:sz w:val="20"/>
                <w:szCs w:val="20"/>
              </w:rPr>
            </w:pPr>
            <w:r w:rsidRPr="00105C77">
              <w:rPr>
                <w:b/>
                <w:iCs/>
                <w:sz w:val="20"/>
                <w:szCs w:val="20"/>
              </w:rPr>
              <w:t>(Delaware Nation)</w:t>
            </w:r>
          </w:p>
          <w:p w14:paraId="4956C728" w14:textId="2045FC18" w:rsidR="00D92345" w:rsidRPr="00035DB2" w:rsidRDefault="00813391" w:rsidP="005A0DB5">
            <w:pPr>
              <w:rPr>
                <w:b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1" w:type="pct"/>
          </w:tcPr>
          <w:p w14:paraId="2123143D" w14:textId="77777777" w:rsidR="00D92345" w:rsidRDefault="00D92345"/>
        </w:tc>
        <w:tc>
          <w:tcPr>
            <w:tcW w:w="3652" w:type="pct"/>
            <w:vMerge/>
          </w:tcPr>
          <w:p w14:paraId="59CC1F4E" w14:textId="77777777" w:rsidR="00D92345" w:rsidRDefault="00D92345"/>
        </w:tc>
      </w:tr>
      <w:tr w:rsidR="00D92345" w14:paraId="6AFCED31" w14:textId="77777777" w:rsidTr="00BF38C6">
        <w:trPr>
          <w:trHeight w:val="1548"/>
        </w:trPr>
        <w:tc>
          <w:tcPr>
            <w:tcW w:w="1217" w:type="pct"/>
            <w:vAlign w:val="bottom"/>
          </w:tcPr>
          <w:p w14:paraId="7094DB7F" w14:textId="77777777" w:rsidR="00D92345" w:rsidRPr="005A0DB5" w:rsidRDefault="00BF38C6" w:rsidP="00BF38C6">
            <w:pPr>
              <w:rPr>
                <w:b/>
              </w:rPr>
            </w:pPr>
            <w:r w:rsidRPr="005A0DB5">
              <w:rPr>
                <w:b/>
                <w:sz w:val="20"/>
              </w:rPr>
              <w:t>Certified Copy of a Resolution Adopted on:</w:t>
            </w:r>
          </w:p>
        </w:tc>
        <w:tc>
          <w:tcPr>
            <w:tcW w:w="131" w:type="pct"/>
          </w:tcPr>
          <w:p w14:paraId="19B577B9" w14:textId="77777777" w:rsidR="00D92345" w:rsidRDefault="00D92345"/>
        </w:tc>
        <w:tc>
          <w:tcPr>
            <w:tcW w:w="3652" w:type="pct"/>
            <w:vMerge/>
          </w:tcPr>
          <w:p w14:paraId="61BEACED" w14:textId="77777777" w:rsidR="00D92345" w:rsidRDefault="00D92345"/>
        </w:tc>
      </w:tr>
      <w:tr w:rsidR="00D92345" w14:paraId="5C938A5A" w14:textId="77777777" w:rsidTr="00BF38C6">
        <w:trPr>
          <w:trHeight w:val="908"/>
        </w:trPr>
        <w:tc>
          <w:tcPr>
            <w:tcW w:w="1217" w:type="pct"/>
            <w:vAlign w:val="center"/>
          </w:tcPr>
          <w:p w14:paraId="04245CA0" w14:textId="5EE03183" w:rsidR="00D92345" w:rsidRPr="00854571" w:rsidRDefault="001F7FE6" w:rsidP="00BF38C6">
            <w:pPr>
              <w:rPr>
                <w:b/>
                <w:sz w:val="20"/>
              </w:rPr>
            </w:pPr>
            <w:r w:rsidRPr="00854571">
              <w:rPr>
                <w:b/>
                <w:sz w:val="20"/>
              </w:rPr>
              <w:t xml:space="preserve">June </w:t>
            </w:r>
            <w:r w:rsidR="00854571">
              <w:rPr>
                <w:b/>
                <w:sz w:val="20"/>
              </w:rPr>
              <w:t>11-13</w:t>
            </w:r>
            <w:r w:rsidR="00C634AD" w:rsidRPr="00854571">
              <w:rPr>
                <w:b/>
                <w:sz w:val="20"/>
              </w:rPr>
              <w:t>, 2018</w:t>
            </w:r>
          </w:p>
          <w:p w14:paraId="0202284A" w14:textId="1D0EBFF1" w:rsidR="00D92345" w:rsidRPr="00854571" w:rsidRDefault="001F7FE6" w:rsidP="00BF38C6">
            <w:r w:rsidRPr="00854571">
              <w:rPr>
                <w:b/>
                <w:sz w:val="20"/>
              </w:rPr>
              <w:t>Oneida Nation of the Thames</w:t>
            </w:r>
          </w:p>
        </w:tc>
        <w:tc>
          <w:tcPr>
            <w:tcW w:w="131" w:type="pct"/>
          </w:tcPr>
          <w:p w14:paraId="27D06145" w14:textId="77777777" w:rsidR="00D92345" w:rsidRDefault="00D92345"/>
        </w:tc>
        <w:tc>
          <w:tcPr>
            <w:tcW w:w="3652" w:type="pct"/>
            <w:vMerge/>
          </w:tcPr>
          <w:p w14:paraId="00306B5D" w14:textId="77777777" w:rsidR="00D92345" w:rsidRDefault="00D92345"/>
        </w:tc>
      </w:tr>
      <w:tr w:rsidR="00D92345" w14:paraId="40B4E342" w14:textId="77777777" w:rsidTr="00BF38C6">
        <w:trPr>
          <w:trHeight w:val="2232"/>
        </w:trPr>
        <w:tc>
          <w:tcPr>
            <w:tcW w:w="1217" w:type="pct"/>
            <w:tcBorders>
              <w:bottom w:val="single" w:sz="4" w:space="0" w:color="auto"/>
            </w:tcBorders>
          </w:tcPr>
          <w:p w14:paraId="232F880C" w14:textId="77777777" w:rsidR="00D92345" w:rsidRPr="00854571" w:rsidRDefault="00D92345" w:rsidP="0094018C"/>
        </w:tc>
        <w:tc>
          <w:tcPr>
            <w:tcW w:w="131" w:type="pct"/>
          </w:tcPr>
          <w:p w14:paraId="7183050E" w14:textId="77777777" w:rsidR="00D92345" w:rsidRDefault="00D92345"/>
        </w:tc>
        <w:tc>
          <w:tcPr>
            <w:tcW w:w="3652" w:type="pct"/>
            <w:vMerge/>
          </w:tcPr>
          <w:p w14:paraId="4A65DBFA" w14:textId="77777777" w:rsidR="00D92345" w:rsidRDefault="00D92345"/>
        </w:tc>
      </w:tr>
      <w:tr w:rsidR="00D92345" w14:paraId="19C72841" w14:textId="77777777" w:rsidTr="00BF38C6">
        <w:trPr>
          <w:trHeight w:val="1826"/>
        </w:trPr>
        <w:tc>
          <w:tcPr>
            <w:tcW w:w="1217" w:type="pct"/>
            <w:tcBorders>
              <w:top w:val="single" w:sz="4" w:space="0" w:color="auto"/>
            </w:tcBorders>
          </w:tcPr>
          <w:p w14:paraId="767F21DB" w14:textId="4FA0981D" w:rsidR="00D92345" w:rsidRPr="00854571" w:rsidRDefault="00D92345" w:rsidP="005A0DB5">
            <w:pPr>
              <w:jc w:val="center"/>
              <w:rPr>
                <w:b/>
              </w:rPr>
            </w:pPr>
            <w:r w:rsidRPr="00854571">
              <w:rPr>
                <w:b/>
                <w:sz w:val="20"/>
              </w:rPr>
              <w:t xml:space="preserve">Grand Chief </w:t>
            </w:r>
            <w:r w:rsidR="001F7FE6" w:rsidRPr="00854571">
              <w:rPr>
                <w:b/>
                <w:sz w:val="20"/>
              </w:rPr>
              <w:t>Joel Abram</w:t>
            </w:r>
          </w:p>
        </w:tc>
        <w:tc>
          <w:tcPr>
            <w:tcW w:w="131" w:type="pct"/>
          </w:tcPr>
          <w:p w14:paraId="0642C852" w14:textId="77777777" w:rsidR="00D92345" w:rsidRDefault="00D92345"/>
        </w:tc>
        <w:tc>
          <w:tcPr>
            <w:tcW w:w="3652" w:type="pct"/>
            <w:vMerge/>
          </w:tcPr>
          <w:p w14:paraId="4B0BABB5" w14:textId="77777777" w:rsidR="00D92345" w:rsidRDefault="00D92345"/>
        </w:tc>
      </w:tr>
      <w:tr w:rsidR="00D92345" w14:paraId="4F145EE9" w14:textId="77777777" w:rsidTr="00BF38C6">
        <w:trPr>
          <w:trHeight w:val="1826"/>
        </w:trPr>
        <w:tc>
          <w:tcPr>
            <w:tcW w:w="1217" w:type="pct"/>
          </w:tcPr>
          <w:p w14:paraId="086015DD" w14:textId="77777777" w:rsidR="00D92345" w:rsidRPr="003045A1" w:rsidRDefault="00D92345" w:rsidP="0094018C">
            <w:pPr>
              <w:rPr>
                <w:b/>
              </w:rPr>
            </w:pPr>
          </w:p>
        </w:tc>
        <w:tc>
          <w:tcPr>
            <w:tcW w:w="131" w:type="pct"/>
          </w:tcPr>
          <w:p w14:paraId="6933875D" w14:textId="77777777" w:rsidR="00D92345" w:rsidRDefault="00D92345"/>
        </w:tc>
        <w:tc>
          <w:tcPr>
            <w:tcW w:w="3652" w:type="pct"/>
            <w:vMerge/>
          </w:tcPr>
          <w:p w14:paraId="78DCF0F2" w14:textId="77777777" w:rsidR="00D92345" w:rsidRDefault="00D92345"/>
        </w:tc>
      </w:tr>
      <w:tr w:rsidR="00D92345" w14:paraId="79B117C3" w14:textId="77777777" w:rsidTr="00BF38C6">
        <w:trPr>
          <w:trHeight w:val="1826"/>
        </w:trPr>
        <w:tc>
          <w:tcPr>
            <w:tcW w:w="1217" w:type="pct"/>
          </w:tcPr>
          <w:p w14:paraId="5B89F92B" w14:textId="77777777" w:rsidR="00D92345" w:rsidRPr="003045A1" w:rsidRDefault="00D92345" w:rsidP="0094018C">
            <w:pPr>
              <w:rPr>
                <w:b/>
              </w:rPr>
            </w:pPr>
          </w:p>
        </w:tc>
        <w:tc>
          <w:tcPr>
            <w:tcW w:w="131" w:type="pct"/>
          </w:tcPr>
          <w:p w14:paraId="5728CF5F" w14:textId="77777777" w:rsidR="00D92345" w:rsidRDefault="00D92345"/>
        </w:tc>
        <w:tc>
          <w:tcPr>
            <w:tcW w:w="3652" w:type="pct"/>
            <w:vMerge/>
          </w:tcPr>
          <w:p w14:paraId="53A846CD" w14:textId="77777777" w:rsidR="00D92345" w:rsidRDefault="00D92345"/>
        </w:tc>
      </w:tr>
    </w:tbl>
    <w:p w14:paraId="19E98642" w14:textId="77777777" w:rsidR="00DF1B9A" w:rsidRDefault="00DF1B9A"/>
    <w:sectPr w:rsidR="00DF1B9A" w:rsidSect="00F81408">
      <w:headerReference w:type="default" r:id="rId7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331EB" w14:textId="77777777" w:rsidR="008F6CE5" w:rsidRDefault="008F6CE5" w:rsidP="0094018C">
      <w:pPr>
        <w:spacing w:after="0" w:line="240" w:lineRule="auto"/>
      </w:pPr>
      <w:r>
        <w:separator/>
      </w:r>
    </w:p>
  </w:endnote>
  <w:endnote w:type="continuationSeparator" w:id="0">
    <w:p w14:paraId="22E1C305" w14:textId="77777777" w:rsidR="008F6CE5" w:rsidRDefault="008F6CE5" w:rsidP="0094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8F9D4" w14:textId="77777777" w:rsidR="008F6CE5" w:rsidRDefault="008F6CE5" w:rsidP="0094018C">
      <w:pPr>
        <w:spacing w:after="0" w:line="240" w:lineRule="auto"/>
      </w:pPr>
      <w:r>
        <w:separator/>
      </w:r>
    </w:p>
  </w:footnote>
  <w:footnote w:type="continuationSeparator" w:id="0">
    <w:p w14:paraId="6B463694" w14:textId="77777777" w:rsidR="008F6CE5" w:rsidRDefault="008F6CE5" w:rsidP="00940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E90C6" w14:textId="08AC9D13" w:rsidR="002C0C91" w:rsidRDefault="002C0C91" w:rsidP="002C0C91">
    <w:pPr>
      <w:pStyle w:val="Header"/>
      <w:tabs>
        <w:tab w:val="clear" w:pos="9360"/>
        <w:tab w:val="right" w:pos="8640"/>
      </w:tabs>
      <w:rPr>
        <w:rFonts w:ascii="Constantia" w:hAnsi="Constantia"/>
        <w:b/>
      </w:rPr>
    </w:pPr>
    <w:r w:rsidRPr="00A74BE6">
      <w:rPr>
        <w:b/>
        <w:i/>
        <w:noProof/>
        <w:lang w:val="en-US"/>
      </w:rPr>
      <w:drawing>
        <wp:anchor distT="0" distB="0" distL="114300" distR="114300" simplePos="0" relativeHeight="251656704" behindDoc="1" locked="0" layoutInCell="1" allowOverlap="1" wp14:anchorId="397AD029" wp14:editId="379095DA">
          <wp:simplePos x="0" y="0"/>
          <wp:positionH relativeFrom="column">
            <wp:posOffset>2476500</wp:posOffset>
          </wp:positionH>
          <wp:positionV relativeFrom="paragraph">
            <wp:posOffset>-154304</wp:posOffset>
          </wp:positionV>
          <wp:extent cx="914984" cy="113665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Documents\My Documents\Communications\Pictures\Logos\aiaiNEW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01" cy="1141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nstantia" w:hAnsi="Constantia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D1A7AF" wp14:editId="461AB619">
              <wp:simplePos x="0" y="0"/>
              <wp:positionH relativeFrom="column">
                <wp:posOffset>4183380</wp:posOffset>
              </wp:positionH>
              <wp:positionV relativeFrom="paragraph">
                <wp:posOffset>-6350</wp:posOffset>
              </wp:positionV>
              <wp:extent cx="1778000" cy="984250"/>
              <wp:effectExtent l="0" t="0" r="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0" cy="984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8A88A" w14:textId="77777777" w:rsidR="002C0C91" w:rsidRPr="00A74BE6" w:rsidRDefault="002C0C91" w:rsidP="002C0C91">
                          <w:pPr>
                            <w:spacing w:after="0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A74BE6">
                            <w:rPr>
                              <w:i/>
                              <w:sz w:val="16"/>
                              <w:szCs w:val="16"/>
                            </w:rPr>
                            <w:t>387 PRINCESS AVENUE</w:t>
                          </w:r>
                        </w:p>
                        <w:p w14:paraId="71F6663C" w14:textId="77777777" w:rsidR="002C0C91" w:rsidRPr="00A74BE6" w:rsidRDefault="002C0C91" w:rsidP="002C0C91">
                          <w:pPr>
                            <w:spacing w:after="0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A74BE6">
                            <w:rPr>
                              <w:i/>
                              <w:sz w:val="16"/>
                              <w:szCs w:val="16"/>
                            </w:rPr>
                            <w:t>LONDON, ONTARIO</w:t>
                          </w:r>
                        </w:p>
                        <w:p w14:paraId="14BCFD2B" w14:textId="77777777" w:rsidR="002C0C91" w:rsidRDefault="002C0C91" w:rsidP="002C0C91">
                          <w:pPr>
                            <w:spacing w:after="0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A74BE6">
                            <w:rPr>
                              <w:i/>
                              <w:sz w:val="16"/>
                              <w:szCs w:val="16"/>
                            </w:rPr>
                            <w:t>N6B 2A7</w:t>
                          </w:r>
                        </w:p>
                        <w:p w14:paraId="3149075B" w14:textId="77777777" w:rsidR="002C0C91" w:rsidRPr="00A74BE6" w:rsidRDefault="002C0C91" w:rsidP="002C0C91">
                          <w:pPr>
                            <w:spacing w:after="0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59ABF264" w14:textId="77777777" w:rsidR="002C0C91" w:rsidRPr="00A74BE6" w:rsidRDefault="002C0C91" w:rsidP="002C0C91">
                          <w:pPr>
                            <w:spacing w:after="0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A74BE6">
                            <w:rPr>
                              <w:i/>
                              <w:sz w:val="16"/>
                              <w:szCs w:val="16"/>
                            </w:rPr>
                            <w:t>PHONE:(519) 434-2761</w:t>
                          </w:r>
                        </w:p>
                        <w:p w14:paraId="347ED958" w14:textId="77777777" w:rsidR="002C0C91" w:rsidRPr="00A74BE6" w:rsidRDefault="002C0C91" w:rsidP="002C0C91">
                          <w:pPr>
                            <w:spacing w:after="0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A74BE6">
                            <w:rPr>
                              <w:i/>
                              <w:sz w:val="16"/>
                              <w:szCs w:val="16"/>
                            </w:rPr>
                            <w:t>FAX:(519) 675-1053</w:t>
                          </w:r>
                        </w:p>
                        <w:p w14:paraId="0164D7D8" w14:textId="77777777" w:rsidR="002C0C91" w:rsidRDefault="002C0C91" w:rsidP="002C0C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1A7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9.4pt;margin-top:-.5pt;width:140pt;height:7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" fillcolor="white [3201]" stroked="f" strokeweight=".5pt">
              <v:textbox>
                <w:txbxContent>
                  <w:p w14:paraId="09C8A88A" w14:textId="77777777" w:rsidR="002C0C91" w:rsidRPr="00A74BE6" w:rsidRDefault="002C0C91" w:rsidP="002C0C91">
                    <w:pPr>
                      <w:spacing w:after="0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 w:rsidRPr="00A74BE6">
                      <w:rPr>
                        <w:i/>
                        <w:sz w:val="16"/>
                        <w:szCs w:val="16"/>
                      </w:rPr>
                      <w:t>387 PRINCESS AVENUE</w:t>
                    </w:r>
                  </w:p>
                  <w:p w14:paraId="71F6663C" w14:textId="77777777" w:rsidR="002C0C91" w:rsidRPr="00A74BE6" w:rsidRDefault="002C0C91" w:rsidP="002C0C91">
                    <w:pPr>
                      <w:spacing w:after="0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 w:rsidRPr="00A74BE6">
                      <w:rPr>
                        <w:i/>
                        <w:sz w:val="16"/>
                        <w:szCs w:val="16"/>
                      </w:rPr>
                      <w:t>LONDON, ONTARIO</w:t>
                    </w:r>
                  </w:p>
                  <w:p w14:paraId="14BCFD2B" w14:textId="77777777" w:rsidR="002C0C91" w:rsidRDefault="002C0C91" w:rsidP="002C0C91">
                    <w:pPr>
                      <w:spacing w:after="0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 w:rsidRPr="00A74BE6">
                      <w:rPr>
                        <w:i/>
                        <w:sz w:val="16"/>
                        <w:szCs w:val="16"/>
                      </w:rPr>
                      <w:t>N6B 2A7</w:t>
                    </w:r>
                  </w:p>
                  <w:p w14:paraId="3149075B" w14:textId="77777777" w:rsidR="002C0C91" w:rsidRPr="00A74BE6" w:rsidRDefault="002C0C91" w:rsidP="002C0C91">
                    <w:pPr>
                      <w:spacing w:after="0"/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  <w:p w14:paraId="59ABF264" w14:textId="77777777" w:rsidR="002C0C91" w:rsidRPr="00A74BE6" w:rsidRDefault="002C0C91" w:rsidP="002C0C91">
                    <w:pPr>
                      <w:spacing w:after="0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 w:rsidRPr="00A74BE6">
                      <w:rPr>
                        <w:i/>
                        <w:sz w:val="16"/>
                        <w:szCs w:val="16"/>
                      </w:rPr>
                      <w:t>PHONE:(519) 434-2761</w:t>
                    </w:r>
                  </w:p>
                  <w:p w14:paraId="347ED958" w14:textId="77777777" w:rsidR="002C0C91" w:rsidRPr="00A74BE6" w:rsidRDefault="002C0C91" w:rsidP="002C0C91">
                    <w:pPr>
                      <w:spacing w:after="0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 w:rsidRPr="00A74BE6">
                      <w:rPr>
                        <w:i/>
                        <w:sz w:val="16"/>
                        <w:szCs w:val="16"/>
                      </w:rPr>
                      <w:t>FAX:(519) 675-1053</w:t>
                    </w:r>
                  </w:p>
                  <w:p w14:paraId="0164D7D8" w14:textId="77777777" w:rsidR="002C0C91" w:rsidRDefault="002C0C91" w:rsidP="002C0C91"/>
                </w:txbxContent>
              </v:textbox>
            </v:shape>
          </w:pict>
        </mc:Fallback>
      </mc:AlternateContent>
    </w:r>
  </w:p>
  <w:p w14:paraId="7064C821" w14:textId="77777777" w:rsidR="002C0C91" w:rsidRPr="002C0C91" w:rsidRDefault="002C0C91" w:rsidP="002C0C91">
    <w:pPr>
      <w:spacing w:after="0"/>
      <w:rPr>
        <w:rFonts w:eastAsiaTheme="minorEastAsia"/>
        <w:b/>
        <w:i/>
        <w:sz w:val="16"/>
        <w:szCs w:val="16"/>
      </w:rPr>
    </w:pPr>
    <w:r>
      <w:rPr>
        <w:rFonts w:eastAsiaTheme="minorEastAsia"/>
        <w:b/>
        <w:i/>
        <w:sz w:val="16"/>
        <w:szCs w:val="16"/>
      </w:rPr>
      <w:t>HEAD OFFICE:</w:t>
    </w:r>
    <w:r>
      <w:rPr>
        <w:rFonts w:eastAsiaTheme="minorEastAsia"/>
        <w:b/>
        <w:i/>
        <w:sz w:val="16"/>
        <w:szCs w:val="16"/>
      </w:rPr>
      <w:br/>
    </w:r>
    <w:r w:rsidRPr="00A74BE6">
      <w:rPr>
        <w:rFonts w:eastAsiaTheme="minorEastAsia"/>
        <w:i/>
        <w:sz w:val="16"/>
        <w:szCs w:val="16"/>
      </w:rPr>
      <w:t>ONEIDA</w:t>
    </w:r>
    <w:r>
      <w:rPr>
        <w:rFonts w:eastAsiaTheme="minorEastAsia"/>
        <w:i/>
        <w:sz w:val="16"/>
        <w:szCs w:val="16"/>
      </w:rPr>
      <w:t xml:space="preserve"> </w:t>
    </w:r>
    <w:r w:rsidRPr="00A74BE6">
      <w:rPr>
        <w:rFonts w:eastAsiaTheme="minorEastAsia"/>
        <w:i/>
        <w:sz w:val="16"/>
        <w:szCs w:val="16"/>
      </w:rPr>
      <w:t>NATION OF THE THAMES</w:t>
    </w:r>
  </w:p>
  <w:p w14:paraId="655E8FC6" w14:textId="77777777" w:rsidR="002C0C91" w:rsidRPr="00FF7585" w:rsidRDefault="00CA198B" w:rsidP="002C0C91">
    <w:pPr>
      <w:spacing w:after="0"/>
      <w:rPr>
        <w:i/>
        <w:sz w:val="16"/>
        <w:szCs w:val="16"/>
      </w:rPr>
    </w:pPr>
    <w:hyperlink r:id="rId2" w:history="1">
      <w:r w:rsidR="002C0C91" w:rsidRPr="00FF7585">
        <w:rPr>
          <w:rStyle w:val="Hyperlink"/>
          <w:i/>
          <w:sz w:val="16"/>
          <w:szCs w:val="16"/>
        </w:rPr>
        <w:t>www.aiai.on.ca</w:t>
      </w:r>
    </w:hyperlink>
  </w:p>
  <w:p w14:paraId="77BE8D72" w14:textId="77777777" w:rsidR="002C0C91" w:rsidRDefault="002C0C91" w:rsidP="002C0C91">
    <w:pPr>
      <w:pStyle w:val="Header"/>
      <w:rPr>
        <w:rFonts w:ascii="Constantia" w:hAnsi="Constantia"/>
        <w:b/>
      </w:rPr>
    </w:pPr>
  </w:p>
  <w:p w14:paraId="64454B8B" w14:textId="77777777" w:rsidR="002C0C91" w:rsidRDefault="001A61EE" w:rsidP="002C0C91">
    <w:pPr>
      <w:pStyle w:val="Header"/>
      <w:rPr>
        <w:rFonts w:ascii="Constantia" w:hAnsi="Constantia"/>
        <w:b/>
      </w:rPr>
    </w:pPr>
    <w:r>
      <w:rPr>
        <w:rFonts w:ascii="Constantia" w:hAnsi="Constantia"/>
        <w:b/>
      </w:rPr>
      <w:br/>
    </w:r>
  </w:p>
  <w:tbl>
    <w:tblPr>
      <w:tblStyle w:val="TableGrid"/>
      <w:tblW w:w="10350" w:type="dxa"/>
      <w:tblInd w:w="-545" w:type="dxa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2250"/>
      <w:gridCol w:w="3235"/>
    </w:tblGrid>
    <w:tr w:rsidR="00035DB2" w14:paraId="492131F7" w14:textId="77777777" w:rsidTr="00035DB2">
      <w:tc>
        <w:tcPr>
          <w:tcW w:w="4865" w:type="dxa"/>
          <w:tcBorders>
            <w:top w:val="nil"/>
            <w:left w:val="nil"/>
            <w:bottom w:val="nil"/>
            <w:right w:val="nil"/>
          </w:tcBorders>
        </w:tcPr>
        <w:p w14:paraId="516FFA86" w14:textId="7DCDEFC1" w:rsidR="00035DB2" w:rsidRPr="003045A1" w:rsidRDefault="00035DB2" w:rsidP="002C0C91">
          <w:pPr>
            <w:pStyle w:val="Header"/>
            <w:rPr>
              <w:rFonts w:ascii="Constantia" w:hAnsi="Constantia"/>
              <w:b/>
              <w:sz w:val="20"/>
              <w:szCs w:val="20"/>
            </w:rPr>
          </w:pPr>
          <w:r w:rsidRPr="00035DB2">
            <w:rPr>
              <w:rFonts w:ascii="Constantia" w:hAnsi="Constantia"/>
              <w:b/>
              <w:szCs w:val="20"/>
            </w:rPr>
            <w:t>Association of Iroquois and Allied Indians</w:t>
          </w:r>
          <w:r w:rsidRPr="003045A1">
            <w:rPr>
              <w:rFonts w:ascii="Constantia" w:hAnsi="Constantia"/>
              <w:b/>
              <w:sz w:val="20"/>
              <w:szCs w:val="20"/>
            </w:rPr>
            <w:br/>
          </w:r>
          <w:r w:rsidR="001F7FE6" w:rsidRPr="00854571">
            <w:rPr>
              <w:rFonts w:ascii="Constantia" w:hAnsi="Constantia"/>
              <w:b/>
              <w:szCs w:val="20"/>
            </w:rPr>
            <w:t>49</w:t>
          </w:r>
          <w:r w:rsidRPr="00854571">
            <w:rPr>
              <w:rFonts w:ascii="Constantia" w:hAnsi="Constantia"/>
              <w:b/>
              <w:szCs w:val="20"/>
              <w:vertAlign w:val="superscript"/>
            </w:rPr>
            <w:t>th</w:t>
          </w:r>
          <w:r w:rsidRPr="00854571">
            <w:rPr>
              <w:rFonts w:ascii="Constantia" w:hAnsi="Constantia"/>
              <w:b/>
              <w:szCs w:val="20"/>
            </w:rPr>
            <w:t xml:space="preserve"> ANNUAL</w:t>
          </w:r>
          <w:r w:rsidRPr="00035DB2">
            <w:rPr>
              <w:rFonts w:ascii="Constantia" w:hAnsi="Constantia"/>
              <w:b/>
              <w:szCs w:val="20"/>
            </w:rPr>
            <w:t xml:space="preserve"> GENERAL ASSEMBLY</w:t>
          </w:r>
        </w:p>
      </w:tc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14:paraId="4FEAB727" w14:textId="77777777" w:rsidR="00035DB2" w:rsidRDefault="00035DB2" w:rsidP="002C0C91">
          <w:pPr>
            <w:pStyle w:val="Header"/>
            <w:jc w:val="right"/>
            <w:rPr>
              <w:rFonts w:ascii="Constantia" w:hAnsi="Constantia"/>
              <w:b/>
            </w:rPr>
          </w:pPr>
        </w:p>
      </w:tc>
      <w:tc>
        <w:tcPr>
          <w:tcW w:w="323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A813027" w14:textId="781DF919" w:rsidR="00035DB2" w:rsidRDefault="00035DB2" w:rsidP="005A0DB5">
          <w:pPr>
            <w:pStyle w:val="Header"/>
            <w:jc w:val="right"/>
            <w:rPr>
              <w:rFonts w:ascii="Constantia" w:hAnsi="Constantia"/>
              <w:b/>
            </w:rPr>
          </w:pPr>
          <w:r w:rsidRPr="00703EF9">
            <w:rPr>
              <w:rFonts w:ascii="Constantia" w:hAnsi="Constantia"/>
              <w:b/>
            </w:rPr>
            <w:t xml:space="preserve">Resolution No. </w:t>
          </w:r>
          <w:r w:rsidRPr="00B81E28">
            <w:rPr>
              <w:rFonts w:ascii="Constantia" w:hAnsi="Constantia"/>
              <w:b/>
            </w:rPr>
            <w:t>00</w:t>
          </w:r>
          <w:r w:rsidR="00813391" w:rsidRPr="00B81E28">
            <w:rPr>
              <w:rFonts w:ascii="Constantia" w:hAnsi="Constantia"/>
              <w:b/>
            </w:rPr>
            <w:t>8</w:t>
          </w:r>
          <w:r w:rsidRPr="00B81E28">
            <w:rPr>
              <w:rFonts w:ascii="Constantia" w:hAnsi="Constantia"/>
              <w:b/>
            </w:rPr>
            <w:t>/</w:t>
          </w:r>
          <w:r w:rsidR="00C634AD" w:rsidRPr="00B81E28">
            <w:rPr>
              <w:rFonts w:ascii="Constantia" w:hAnsi="Constantia"/>
              <w:b/>
            </w:rPr>
            <w:t>2018</w:t>
          </w:r>
        </w:p>
      </w:tc>
    </w:tr>
    <w:tr w:rsidR="003045A1" w14:paraId="048930D5" w14:textId="77777777" w:rsidTr="004C707A">
      <w:trPr>
        <w:trHeight w:val="537"/>
      </w:trPr>
      <w:tc>
        <w:tcPr>
          <w:tcW w:w="4865" w:type="dxa"/>
          <w:tcBorders>
            <w:top w:val="nil"/>
            <w:left w:val="nil"/>
            <w:right w:val="nil"/>
          </w:tcBorders>
          <w:vAlign w:val="center"/>
        </w:tcPr>
        <w:p w14:paraId="1986BCDB" w14:textId="164818B4" w:rsidR="003045A1" w:rsidRPr="00BF38C6" w:rsidRDefault="005A0DB5" w:rsidP="005A0DB5">
          <w:pPr>
            <w:pStyle w:val="Header"/>
            <w:rPr>
              <w:rFonts w:ascii="Constantia" w:hAnsi="Constantia"/>
              <w:b/>
            </w:rPr>
          </w:pPr>
          <w:r w:rsidRPr="00B81E28">
            <w:rPr>
              <w:rFonts w:ascii="Constantia" w:hAnsi="Constantia"/>
              <w:b/>
              <w:sz w:val="18"/>
            </w:rPr>
            <w:t>Passed by</w:t>
          </w:r>
          <w:r w:rsidR="00854571">
            <w:rPr>
              <w:rFonts w:ascii="Constantia" w:hAnsi="Constantia"/>
              <w:b/>
              <w:sz w:val="18"/>
            </w:rPr>
            <w:t>:</w:t>
          </w:r>
          <w:r w:rsidRPr="00B81E28">
            <w:rPr>
              <w:rFonts w:ascii="Constantia" w:hAnsi="Constantia"/>
              <w:b/>
              <w:sz w:val="18"/>
            </w:rPr>
            <w:t xml:space="preserve"> Consensus</w:t>
          </w:r>
        </w:p>
      </w:tc>
      <w:tc>
        <w:tcPr>
          <w:tcW w:w="5485" w:type="dxa"/>
          <w:gridSpan w:val="2"/>
          <w:tcBorders>
            <w:top w:val="nil"/>
            <w:left w:val="nil"/>
            <w:right w:val="nil"/>
          </w:tcBorders>
          <w:vAlign w:val="center"/>
        </w:tcPr>
        <w:p w14:paraId="4686EDD4" w14:textId="633EECF0" w:rsidR="00E33CA3" w:rsidRDefault="003045A1" w:rsidP="004C707A">
          <w:pPr>
            <w:pStyle w:val="Header"/>
            <w:jc w:val="right"/>
            <w:rPr>
              <w:rFonts w:ascii="Constantia" w:hAnsi="Constantia"/>
              <w:b/>
            </w:rPr>
          </w:pPr>
          <w:r w:rsidRPr="004C707A">
            <w:rPr>
              <w:rFonts w:ascii="Constantia" w:hAnsi="Constantia"/>
              <w:b/>
            </w:rPr>
            <w:t>Subject:</w:t>
          </w:r>
          <w:r w:rsidR="00E33CA3">
            <w:rPr>
              <w:rFonts w:ascii="Constantia" w:hAnsi="Constantia"/>
              <w:b/>
            </w:rPr>
            <w:t xml:space="preserve"> </w:t>
          </w:r>
          <w:r w:rsidR="00854571">
            <w:rPr>
              <w:rFonts w:ascii="Constantia" w:hAnsi="Constantia"/>
              <w:b/>
            </w:rPr>
            <w:t xml:space="preserve">REJECTION OF THE RECOGNITION </w:t>
          </w:r>
        </w:p>
        <w:p w14:paraId="70057246" w14:textId="34865CC3" w:rsidR="00E33CA3" w:rsidRDefault="00854571" w:rsidP="004C707A">
          <w:pPr>
            <w:pStyle w:val="Header"/>
            <w:jc w:val="right"/>
            <w:rPr>
              <w:rFonts w:ascii="Constantia" w:hAnsi="Constantia"/>
              <w:b/>
            </w:rPr>
          </w:pPr>
          <w:r>
            <w:rPr>
              <w:rFonts w:ascii="Constantia" w:hAnsi="Constantia"/>
              <w:b/>
            </w:rPr>
            <w:t xml:space="preserve">AND IMPLEMENTATION OF INDIGENOUS </w:t>
          </w:r>
        </w:p>
        <w:p w14:paraId="6107D527" w14:textId="6453124C" w:rsidR="004C707A" w:rsidRPr="004C707A" w:rsidRDefault="00854571" w:rsidP="00E33CA3">
          <w:pPr>
            <w:pStyle w:val="Header"/>
            <w:jc w:val="right"/>
            <w:rPr>
              <w:rFonts w:ascii="Constantia" w:hAnsi="Constantia"/>
              <w:b/>
            </w:rPr>
          </w:pPr>
          <w:r>
            <w:rPr>
              <w:rFonts w:ascii="Constantia" w:hAnsi="Constantia"/>
              <w:b/>
            </w:rPr>
            <w:t>RIGHTS FRAMEWORK</w:t>
          </w:r>
        </w:p>
      </w:tc>
    </w:tr>
  </w:tbl>
  <w:p w14:paraId="1E2311EE" w14:textId="77777777" w:rsidR="0094018C" w:rsidRPr="002C0C91" w:rsidRDefault="0094018C" w:rsidP="002C0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7F0D"/>
    <w:multiLevelType w:val="hybridMultilevel"/>
    <w:tmpl w:val="FA16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7513"/>
    <w:multiLevelType w:val="hybridMultilevel"/>
    <w:tmpl w:val="9A067044"/>
    <w:lvl w:ilvl="0" w:tplc="36D044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B77FE"/>
    <w:multiLevelType w:val="hybridMultilevel"/>
    <w:tmpl w:val="48B80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10515"/>
    <w:multiLevelType w:val="hybridMultilevel"/>
    <w:tmpl w:val="551E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8C"/>
    <w:rsid w:val="00021CBC"/>
    <w:rsid w:val="00022314"/>
    <w:rsid w:val="00035DB2"/>
    <w:rsid w:val="00060A02"/>
    <w:rsid w:val="0007189B"/>
    <w:rsid w:val="00075A60"/>
    <w:rsid w:val="000972E2"/>
    <w:rsid w:val="000C6C91"/>
    <w:rsid w:val="00185E37"/>
    <w:rsid w:val="001A61EE"/>
    <w:rsid w:val="001F7FE6"/>
    <w:rsid w:val="002020F0"/>
    <w:rsid w:val="002C0C91"/>
    <w:rsid w:val="002D0B0E"/>
    <w:rsid w:val="003045A1"/>
    <w:rsid w:val="00317519"/>
    <w:rsid w:val="00337EB5"/>
    <w:rsid w:val="003D4ACF"/>
    <w:rsid w:val="00421FB9"/>
    <w:rsid w:val="0049783F"/>
    <w:rsid w:val="004C707A"/>
    <w:rsid w:val="005A0DB5"/>
    <w:rsid w:val="006323CA"/>
    <w:rsid w:val="00661042"/>
    <w:rsid w:val="00703EF9"/>
    <w:rsid w:val="00752960"/>
    <w:rsid w:val="007B226C"/>
    <w:rsid w:val="007F0176"/>
    <w:rsid w:val="00813391"/>
    <w:rsid w:val="0082492E"/>
    <w:rsid w:val="00854571"/>
    <w:rsid w:val="008B0015"/>
    <w:rsid w:val="008F6CE5"/>
    <w:rsid w:val="0094018C"/>
    <w:rsid w:val="00977969"/>
    <w:rsid w:val="009A0AD0"/>
    <w:rsid w:val="009B370D"/>
    <w:rsid w:val="00A30A0A"/>
    <w:rsid w:val="00B735CB"/>
    <w:rsid w:val="00B81E28"/>
    <w:rsid w:val="00BE54E7"/>
    <w:rsid w:val="00BF38C6"/>
    <w:rsid w:val="00C21414"/>
    <w:rsid w:val="00C24055"/>
    <w:rsid w:val="00C634AD"/>
    <w:rsid w:val="00C97AEB"/>
    <w:rsid w:val="00CD3046"/>
    <w:rsid w:val="00CF7DD3"/>
    <w:rsid w:val="00D32C86"/>
    <w:rsid w:val="00D5593B"/>
    <w:rsid w:val="00D77974"/>
    <w:rsid w:val="00D92345"/>
    <w:rsid w:val="00DF1B9A"/>
    <w:rsid w:val="00E33CA3"/>
    <w:rsid w:val="00E92822"/>
    <w:rsid w:val="00EC2F3A"/>
    <w:rsid w:val="00F07D6D"/>
    <w:rsid w:val="00F8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FE7D87"/>
  <w15:chartTrackingRefBased/>
  <w15:docId w15:val="{62B45C57-0C52-4AEB-BDD4-E2897BB6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18C"/>
  </w:style>
  <w:style w:type="paragraph" w:styleId="Footer">
    <w:name w:val="footer"/>
    <w:basedOn w:val="Normal"/>
    <w:link w:val="FooterChar"/>
    <w:uiPriority w:val="99"/>
    <w:unhideWhenUsed/>
    <w:rsid w:val="00940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18C"/>
  </w:style>
  <w:style w:type="character" w:styleId="Hyperlink">
    <w:name w:val="Hyperlink"/>
    <w:basedOn w:val="DefaultParagraphFont"/>
    <w:uiPriority w:val="99"/>
    <w:unhideWhenUsed/>
    <w:rsid w:val="002C0C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3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D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33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ai.on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Zachariah General</dc:creator>
  <cp:keywords/>
  <dc:description/>
  <cp:lastModifiedBy>Tina Powell</cp:lastModifiedBy>
  <cp:revision>3</cp:revision>
  <cp:lastPrinted>2018-06-11T18:14:00Z</cp:lastPrinted>
  <dcterms:created xsi:type="dcterms:W3CDTF">2018-06-18T17:51:00Z</dcterms:created>
  <dcterms:modified xsi:type="dcterms:W3CDTF">2018-06-18T18:23:00Z</dcterms:modified>
</cp:coreProperties>
</file>